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firstLine="533"/>
        <w:spacing w:before="293" w:line="191" w:lineRule="auto"/>
        <w:rPr>
          <w:rFonts w:ascii="Microsoft YaHei" w:hAnsi="Microsoft YaHei" w:eastAsia="Microsoft YaHei" w:cs="Microsoft YaHei"/>
          <w:sz w:val="16"/>
          <w:szCs w:val="16"/>
        </w:rPr>
      </w:pPr>
      <w:r>
        <w:drawing>
          <wp:anchor distT="0" distB="0" distL="0" distR="0" simplePos="0" relativeHeight="251659264" behindDoc="0" locked="0" layoutInCell="0" allowOverlap="1">
            <wp:simplePos x="0" y="0"/>
            <wp:positionH relativeFrom="page">
              <wp:posOffset>436625</wp:posOffset>
            </wp:positionH>
            <wp:positionV relativeFrom="page">
              <wp:posOffset>1891969</wp:posOffset>
            </wp:positionV>
            <wp:extent cx="6695948" cy="6832"/>
            <wp:effectExtent l="0" t="0" r="0" b="0"/>
            <wp:wrapNone/>
            <wp:docPr id="1" name="IM 1"/>
            <wp:cNvGraphicFramePr/>
            <a:graphic>
              <a:graphicData uri="http://schemas.openxmlformats.org/drawingml/2006/picture">
                <pic:pic>
                  <pic:nvPicPr>
                    <pic:cNvPr id="1" name="IM 1"/>
                    <pic:cNvPicPr/>
                  </pic:nvPicPr>
                  <pic:blipFill>
                    <a:blip r:embed="rId1"/>
                    <a:stretch>
                      <a:fillRect/>
                    </a:stretch>
                  </pic:blipFill>
                  <pic:spPr>
                    <a:xfrm rot="0">
                      <a:off x="0" y="0"/>
                      <a:ext cx="6695948" cy="6832"/>
                    </a:xfrm>
                    <a:prstGeom prst="rect">
                      <a:avLst/>
                    </a:prstGeom>
                  </pic:spPr>
                </pic:pic>
              </a:graphicData>
            </a:graphic>
          </wp:anchor>
        </w:drawing>
      </w:r>
      <w:r>
        <w:drawing>
          <wp:anchor distT="0" distB="0" distL="0" distR="0" simplePos="0" relativeHeight="251658240" behindDoc="0" locked="0" layoutInCell="0" allowOverlap="1">
            <wp:simplePos x="0" y="0"/>
            <wp:positionH relativeFrom="page">
              <wp:posOffset>368299</wp:posOffset>
            </wp:positionH>
            <wp:positionV relativeFrom="page">
              <wp:posOffset>504951</wp:posOffset>
            </wp:positionV>
            <wp:extent cx="3265982" cy="512444"/>
            <wp:effectExtent l="0" t="0" r="0" b="0"/>
            <wp:wrapNone/>
            <wp:docPr id="2" name="IM 2"/>
            <wp:cNvGraphicFramePr/>
            <a:graphic>
              <a:graphicData uri="http://schemas.openxmlformats.org/drawingml/2006/picture">
                <pic:pic>
                  <pic:nvPicPr>
                    <pic:cNvPr id="2" name="IM 2"/>
                    <pic:cNvPicPr/>
                  </pic:nvPicPr>
                  <pic:blipFill>
                    <a:blip r:embed="rId2"/>
                    <a:stretch>
                      <a:fillRect/>
                    </a:stretch>
                  </pic:blipFill>
                  <pic:spPr>
                    <a:xfrm rot="0">
                      <a:off x="0" y="0"/>
                      <a:ext cx="3265982" cy="512444"/>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1"/>
          <w:w w:val="102"/>
          <w:position w:val="1"/>
        </w:rPr>
        <w:t>                                </w:t>
      </w:r>
      <w:r>
        <w:rPr>
          <w:rFonts w:ascii="Microsoft YaHei" w:hAnsi="Microsoft YaHei" w:eastAsia="Microsoft YaHei" w:cs="Microsoft YaHei"/>
          <w:sz w:val="16"/>
          <w:szCs w:val="16"/>
          <w:spacing w:val="-2"/>
        </w:rPr>
        <w:t>深化政府及非营利组织会计改革</w:t>
      </w:r>
      <w:r>
        <w:rPr>
          <w:rFonts w:ascii="Microsoft YaHei" w:hAnsi="Microsoft YaHei" w:eastAsia="Microsoft YaHei" w:cs="Microsoft YaHei"/>
          <w:sz w:val="16"/>
          <w:szCs w:val="16"/>
          <w:spacing w:val="1"/>
        </w:rPr>
        <w:t> </w:t>
      </w:r>
      <w:r>
        <w:rPr>
          <w:rFonts w:ascii="Microsoft YaHei" w:hAnsi="Microsoft YaHei" w:eastAsia="Microsoft YaHei" w:cs="Microsoft YaHei"/>
          <w:sz w:val="16"/>
          <w:szCs w:val="16"/>
          <w:spacing w:val="-2"/>
        </w:rPr>
        <w:t>夯实现代财政制度基础</w:t>
      </w:r>
      <w:r>
        <w:rPr>
          <w:rFonts w:ascii="Arial" w:hAnsi="Arial" w:eastAsia="Arial" w:cs="Arial"/>
          <w:sz w:val="16"/>
          <w:szCs w:val="16"/>
          <w:spacing w:val="-2"/>
        </w:rPr>
        <w:t>——</w:t>
      </w:r>
      <w:r>
        <w:rPr>
          <w:rFonts w:ascii="Arial" w:hAnsi="Arial" w:eastAsia="Arial" w:cs="Arial"/>
          <w:sz w:val="16"/>
          <w:szCs w:val="16"/>
          <w:spacing w:val="33"/>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规划纲要》系列解读之二</w:t>
      </w:r>
    </w:p>
    <w:p>
      <w:pPr>
        <w:spacing w:line="369" w:lineRule="auto"/>
        <w:rPr>
          <w:rFonts w:ascii="SimSun"/>
          <w:sz w:val="21"/>
        </w:rPr>
      </w:pPr>
      <w:r/>
    </w:p>
    <w:p>
      <w:pPr>
        <w:ind w:firstLine="9228"/>
        <w:spacing w:before="141" w:line="180" w:lineRule="auto"/>
        <w:rPr>
          <w:rFonts w:ascii="Microsoft YaHei" w:hAnsi="Microsoft YaHei" w:eastAsia="Microsoft YaHei" w:cs="Microsoft YaHei"/>
          <w:sz w:val="33"/>
          <w:szCs w:val="33"/>
        </w:rPr>
      </w:pPr>
      <w:r>
        <w:rPr>
          <w:rFonts w:ascii="Microsoft YaHei" w:hAnsi="Microsoft YaHei" w:eastAsia="Microsoft YaHei" w:cs="Microsoft YaHei"/>
          <w:sz w:val="33"/>
          <w:szCs w:val="33"/>
          <w:color w:val="002973"/>
          <w:spacing w:val="2"/>
        </w:rPr>
        <w:t>会计司</w:t>
      </w:r>
    </w:p>
    <w:p>
      <w:pPr>
        <w:rPr/>
      </w:pPr>
      <w:r/>
    </w:p>
    <w:p>
      <w:pPr>
        <w:spacing w:line="125" w:lineRule="exact"/>
        <w:rPr/>
      </w:pPr>
      <w:r/>
    </w:p>
    <w:p>
      <w:pPr>
        <w:sectPr>
          <w:pgSz w:w="11900" w:h="16839"/>
          <w:pgMar w:top="0" w:right="0" w:bottom="0" w:left="0" w:header="0" w:footer="0" w:gutter="0"/>
          <w:cols w:equalWidth="0" w:num="1">
            <w:col w:w="11900" w:space="0"/>
          </w:cols>
        </w:sectPr>
        <w:rPr/>
      </w:pPr>
    </w:p>
    <w:p>
      <w:pPr>
        <w:ind w:firstLine="803"/>
        <w:spacing w:before="147"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spacing w:val="-1"/>
        </w:rPr>
        <w:t>2022年04月27日</w:t>
      </w:r>
      <w:r>
        <w:rPr>
          <w:rFonts w:ascii="Microsoft YaHei" w:hAnsi="Microsoft YaHei" w:eastAsia="Microsoft YaHei" w:cs="Microsoft YaHei"/>
          <w:sz w:val="15"/>
          <w:szCs w:val="15"/>
          <w:color w:val="ABABAB"/>
          <w:spacing w:val="6"/>
        </w:rPr>
        <w:t>  </w:t>
      </w:r>
      <w:r>
        <w:rPr>
          <w:rFonts w:ascii="Microsoft YaHei" w:hAnsi="Microsoft YaHei" w:eastAsia="Microsoft YaHei" w:cs="Microsoft YaHei"/>
          <w:sz w:val="15"/>
          <w:szCs w:val="15"/>
          <w:color w:val="ABABAB"/>
          <w:spacing w:val="-1"/>
        </w:rPr>
        <w:t>星期三</w:t>
      </w:r>
    </w:p>
    <w:p>
      <w:pPr>
        <w:spacing w:line="42" w:lineRule="exact"/>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86" w:type="dxa"/>
        <w:tblInd w:w="638" w:type="dxa"/>
        <w:tblLayout w:type="fixed"/>
        <w:tblBorders>
          <w:left w:val="single" w:color="64A0D2" w:sz="4" w:space="0"/>
          <w:bottom w:val="single" w:color="64A0D2" w:sz="4" w:space="0"/>
          <w:right w:val="single" w:color="64A0D2" w:sz="4" w:space="0"/>
          <w:top w:val="single" w:color="64A0D2" w:sz="4" w:space="0"/>
        </w:tblBorders>
      </w:tblPr>
      <w:tblGrid>
        <w:gridCol w:w="1786"/>
      </w:tblGrid>
      <w:tr>
        <w:trPr>
          <w:trHeight w:val="281" w:hRule="atLeast"/>
        </w:trPr>
        <w:tc>
          <w:tcPr>
            <w:tcW w:w="1786" w:type="dxa"/>
            <w:vAlign w:val="top"/>
          </w:tcPr>
          <w:p>
            <w:pPr>
              <w:ind w:firstLine="78"/>
              <w:spacing w:before="71"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ABABAB"/>
                <w:spacing w:val="2"/>
              </w:rPr>
              <w:t>请输入关键字</w:t>
            </w:r>
          </w:p>
        </w:tc>
      </w:tr>
    </w:tbl>
    <w:p>
      <w:pPr>
        <w:spacing w:line="21" w:lineRule="exact"/>
        <w:rPr>
          <w:rFonts w:ascii="SimSun"/>
          <w:sz w:val="2"/>
        </w:rPr>
      </w:pPr>
      <w:r/>
    </w:p>
    <w:p>
      <w:pPr>
        <w:spacing w:line="14" w:lineRule="auto"/>
        <w:rPr>
          <w:rFonts w:ascii="SimSun"/>
          <w:sz w:val="2"/>
        </w:rPr>
      </w:pPr>
      <w:r>
        <w:rPr>
          <w:rFonts w:ascii="SimSun" w:hAnsi="SimSun" w:eastAsia="SimSun" w:cs="SimSun"/>
          <w:sz w:val="2"/>
          <w:szCs w:val="2"/>
        </w:rPr>
        <w:br w:type="column"/>
      </w:r>
    </w:p>
    <w:p>
      <w:pPr>
        <w:spacing w:line="58" w:lineRule="exact"/>
        <w:rPr/>
      </w:pPr>
      <w:r/>
    </w:p>
    <w:tbl>
      <w:tblPr>
        <w:tblStyle w:val="2"/>
        <w:tblW w:w="1733" w:type="dxa"/>
        <w:tblInd w:w="14" w:type="dxa"/>
        <w:tblLayout w:type="fixed"/>
        <w:tblBorders>
          <w:left w:val="single" w:color="64A0D2" w:sz="4" w:space="0"/>
          <w:bottom w:val="single" w:color="64A0D2" w:sz="4" w:space="0"/>
          <w:right w:val="single" w:color="64A0D2" w:sz="4" w:space="0"/>
          <w:top w:val="single" w:color="64A0D2" w:sz="4" w:space="0"/>
        </w:tblBorders>
      </w:tblPr>
      <w:tblGrid>
        <w:gridCol w:w="1733"/>
      </w:tblGrid>
      <w:tr>
        <w:trPr>
          <w:trHeight w:val="301" w:hRule="atLeast"/>
        </w:trPr>
        <w:tc>
          <w:tcPr>
            <w:shd w:val="clear" w:fill="FFFFFF"/>
            <w:tcW w:w="1733" w:type="dxa"/>
            <w:vAlign w:val="top"/>
          </w:tcPr>
          <w:p>
            <w:pPr>
              <w:ind w:firstLine="109"/>
              <w:spacing w:before="78" w:line="180"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ABABAB"/>
              </w:rPr>
              <w:t>会计司</w:t>
            </w:r>
          </w:p>
        </w:tc>
      </w:tr>
    </w:tbl>
    <w:p>
      <w:pPr>
        <w:spacing w:line="14" w:lineRule="auto"/>
        <w:rPr>
          <w:rFonts w:ascii="SimSun"/>
          <w:sz w:val="2"/>
        </w:rPr>
      </w:pPr>
      <w:r/>
    </w:p>
    <w:p>
      <w:pPr>
        <w:spacing w:line="14" w:lineRule="auto"/>
        <w:rPr>
          <w:rFonts w:ascii="SimSun"/>
          <w:sz w:val="2"/>
        </w:rPr>
      </w:pPr>
      <w:r>
        <w:rPr>
          <w:rFonts w:ascii="SimSun" w:hAnsi="SimSun" w:eastAsia="SimSun" w:cs="SimSun"/>
          <w:sz w:val="2"/>
          <w:szCs w:val="2"/>
        </w:rPr>
        <w:br w:type="column"/>
      </w:r>
    </w:p>
    <w:p>
      <w:pPr>
        <w:ind w:firstLine="109"/>
        <w:spacing w:before="80" w:line="301" w:lineRule="exact"/>
        <w:rPr>
          <w:rFonts w:ascii="Microsoft YaHei" w:hAnsi="Microsoft YaHei" w:eastAsia="Microsoft YaHei" w:cs="Microsoft YaHei"/>
          <w:sz w:val="15"/>
          <w:szCs w:val="15"/>
        </w:rPr>
      </w:pPr>
      <w:hyperlink w:history="true" r:id="rId3">
        <w:r>
          <w:rPr>
            <w:shd w:val="clear" w:fill="FFFFFE"/>
            <w:rFonts w:ascii="Microsoft YaHei" w:hAnsi="Microsoft YaHei" w:eastAsia="Microsoft YaHei" w:cs="Microsoft YaHei"/>
            <w:sz w:val="15"/>
            <w:szCs w:val="15"/>
            <w:color w:val="ABABAB"/>
            <w:spacing w:val="-1"/>
            <w:position w:val="3"/>
          </w:rPr>
          <w:t>搜索</w:t>
        </w:r>
      </w:hyperlink>
    </w:p>
    <w:p>
      <w:pPr>
        <w:spacing w:line="14" w:lineRule="auto"/>
        <w:rPr>
          <w:rFonts w:ascii="SimSun"/>
          <w:sz w:val="2"/>
        </w:rPr>
      </w:pPr>
      <w:r>
        <w:rPr>
          <w:rFonts w:ascii="SimSun" w:hAnsi="SimSun" w:eastAsia="SimSun" w:cs="SimSun"/>
          <w:sz w:val="2"/>
          <w:szCs w:val="2"/>
        </w:rPr>
        <w:br w:type="column"/>
      </w:r>
    </w:p>
    <w:p>
      <w:pPr>
        <w:ind w:firstLine="1156"/>
        <w:spacing w:before="112" w:line="191" w:lineRule="auto"/>
        <w:rPr>
          <w:rFonts w:ascii="Microsoft YaHei" w:hAnsi="Microsoft YaHei" w:eastAsia="Microsoft YaHei" w:cs="Microsoft YaHei"/>
          <w:sz w:val="15"/>
          <w:szCs w:val="15"/>
        </w:rPr>
      </w:pPr>
      <w:hyperlink w:history="true" r:id="rId4">
        <w:r>
          <w:rPr>
            <w:rFonts w:ascii="Microsoft YaHei" w:hAnsi="Microsoft YaHei" w:eastAsia="Microsoft YaHei" w:cs="Microsoft YaHei"/>
            <w:sz w:val="15"/>
            <w:szCs w:val="15"/>
            <w:color w:val="63839E"/>
          </w:rPr>
          <w:t>返回主站</w:t>
        </w:r>
      </w:hyperlink>
    </w:p>
    <w:p>
      <w:pPr>
        <w:sectPr>
          <w:type w:val="continuous"/>
          <w:pgSz w:w="11900" w:h="16839"/>
          <w:pgMar w:top="0" w:right="0" w:bottom="0" w:left="0" w:header="0" w:footer="0" w:gutter="0"/>
          <w:cols w:equalWidth="0" w:num="5">
            <w:col w:w="3128" w:space="100"/>
            <w:col w:w="2440" w:space="100"/>
            <w:col w:w="1753" w:space="75"/>
            <w:col w:w="1672" w:space="100"/>
            <w:col w:w="2533" w:space="0"/>
          </w:cols>
        </w:sectPr>
        <w:rPr/>
      </w:pPr>
    </w:p>
    <w:p>
      <w:pPr>
        <w:spacing w:line="312" w:lineRule="auto"/>
        <w:rPr>
          <w:rFonts w:ascii="SimSun"/>
          <w:sz w:val="21"/>
        </w:rPr>
      </w:pPr>
      <w:r/>
    </w:p>
    <w:p>
      <w:pPr>
        <w:ind w:firstLine="857"/>
        <w:spacing w:before="64" w:line="191" w:lineRule="auto"/>
        <w:rPr>
          <w:rFonts w:ascii="Microsoft YaHei" w:hAnsi="Microsoft YaHei" w:eastAsia="Microsoft YaHei" w:cs="Microsoft YaHei"/>
          <w:sz w:val="15"/>
          <w:szCs w:val="15"/>
        </w:rPr>
      </w:pPr>
      <w:r>
        <w:rPr>
          <w:rFonts w:ascii="Microsoft YaHei" w:hAnsi="Microsoft YaHei" w:eastAsia="Microsoft YaHei" w:cs="Microsoft YaHei"/>
          <w:sz w:val="15"/>
          <w:szCs w:val="15"/>
          <w:color w:val="333333"/>
          <w:spacing w:val="-9"/>
        </w:rPr>
        <w:t>当前位置：</w:t>
      </w:r>
      <w:r>
        <w:rPr>
          <w:rFonts w:ascii="Microsoft YaHei" w:hAnsi="Microsoft YaHei" w:eastAsia="Microsoft YaHei" w:cs="Microsoft YaHei"/>
          <w:sz w:val="15"/>
          <w:szCs w:val="15"/>
          <w:color w:val="333333"/>
          <w:spacing w:val="9"/>
        </w:rPr>
        <w:t>  </w:t>
      </w:r>
      <w:hyperlink w:history="true" r:id="rId5">
        <w:r>
          <w:rPr>
            <w:rFonts w:ascii="Microsoft YaHei" w:hAnsi="Microsoft YaHei" w:eastAsia="Microsoft YaHei" w:cs="Microsoft YaHei"/>
            <w:sz w:val="15"/>
            <w:szCs w:val="15"/>
            <w:color w:val="333333"/>
            <w:spacing w:val="-9"/>
          </w:rPr>
          <w:t>首页</w:t>
        </w:r>
      </w:hyperlink>
      <w:r>
        <w:rPr>
          <w:rFonts w:ascii="Microsoft YaHei" w:hAnsi="Microsoft YaHei" w:eastAsia="Microsoft YaHei" w:cs="Microsoft YaHei"/>
          <w:sz w:val="15"/>
          <w:szCs w:val="15"/>
          <w:color w:val="333333"/>
          <w:spacing w:val="-9"/>
        </w:rPr>
        <w:t>&gt;</w:t>
      </w:r>
      <w:hyperlink w:history="true" r:id="rId6">
        <w:r>
          <w:rPr>
            <w:rFonts w:ascii="Microsoft YaHei" w:hAnsi="Microsoft YaHei" w:eastAsia="Microsoft YaHei" w:cs="Microsoft YaHei"/>
            <w:sz w:val="15"/>
            <w:szCs w:val="15"/>
            <w:color w:val="333333"/>
            <w:spacing w:val="-9"/>
          </w:rPr>
          <w:t>政策解读</w:t>
        </w:r>
      </w:hyperlink>
    </w:p>
    <w:p>
      <w:pPr>
        <w:spacing w:line="351" w:lineRule="auto"/>
        <w:rPr>
          <w:rFonts w:ascii="SimSun"/>
          <w:sz w:val="21"/>
        </w:rPr>
      </w:pPr>
      <w:r/>
    </w:p>
    <w:p>
      <w:pPr>
        <w:ind w:firstLine="4117"/>
        <w:spacing w:before="112" w:line="484" w:lineRule="exact"/>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2"/>
          <w:position w:val="15"/>
        </w:rPr>
        <w:t>深化政府及非营利组织会计改革</w:t>
      </w:r>
    </w:p>
    <w:p>
      <w:pPr>
        <w:ind w:firstLine="4670"/>
        <w:spacing w:before="1" w:line="204" w:lineRule="auto"/>
        <w:rPr>
          <w:rFonts w:ascii="Microsoft YaHei" w:hAnsi="Microsoft YaHei" w:eastAsia="Microsoft YaHei" w:cs="Microsoft YaHei"/>
          <w:sz w:val="26"/>
          <w:szCs w:val="26"/>
        </w:rPr>
      </w:pPr>
      <w:r>
        <w:rPr>
          <w:rFonts w:ascii="Microsoft YaHei" w:hAnsi="Microsoft YaHei" w:eastAsia="Microsoft YaHei" w:cs="Microsoft YaHei"/>
          <w:sz w:val="26"/>
          <w:szCs w:val="26"/>
          <w:b/>
          <w:bCs/>
          <w:color w:val="333333"/>
          <w:spacing w:val="-2"/>
        </w:rPr>
        <w:t>夯实现代财政制度基础</w:t>
      </w:r>
    </w:p>
    <w:p>
      <w:pPr>
        <w:ind w:firstLine="3708"/>
        <w:spacing w:before="178"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b/>
          <w:bCs/>
          <w:color w:val="333333"/>
          <w:spacing w:val="2"/>
        </w:rPr>
        <w:t>——《会计改革与发展“十四五”规划纲要》系列解读之二</w:t>
      </w:r>
    </w:p>
    <w:p>
      <w:pPr>
        <w:ind w:firstLine="4634"/>
        <w:spacing w:before="328" w:line="187" w:lineRule="auto"/>
        <w:rPr>
          <w:rFonts w:ascii="SimSun" w:hAnsi="SimSun" w:eastAsia="SimSun" w:cs="SimSun"/>
          <w:sz w:val="17"/>
          <w:szCs w:val="17"/>
        </w:rPr>
      </w:pPr>
      <w:r>
        <w:rPr>
          <w:rFonts w:ascii="SimSun" w:hAnsi="SimSun" w:eastAsia="SimSun" w:cs="SimSun"/>
          <w:sz w:val="17"/>
          <w:szCs w:val="17"/>
          <w:color w:val="333333"/>
        </w:rPr>
        <w:t>2021年12月16日</w:t>
      </w:r>
      <w:r>
        <w:rPr>
          <w:rFonts w:ascii="SimSun" w:hAnsi="SimSun" w:eastAsia="SimSun" w:cs="SimSun"/>
          <w:sz w:val="17"/>
          <w:szCs w:val="17"/>
          <w:color w:val="333333"/>
          <w:spacing w:val="7"/>
        </w:rPr>
        <w:t>   </w:t>
      </w:r>
      <w:r>
        <w:rPr>
          <w:rFonts w:ascii="SimSun" w:hAnsi="SimSun" w:eastAsia="SimSun" w:cs="SimSun"/>
          <w:sz w:val="17"/>
          <w:szCs w:val="17"/>
          <w:color w:val="333333"/>
        </w:rPr>
        <w:t>来源：会计司</w:t>
      </w:r>
    </w:p>
    <w:p>
      <w:pPr>
        <w:spacing w:line="425" w:lineRule="auto"/>
        <w:rPr>
          <w:rFonts w:ascii="SimSun"/>
          <w:sz w:val="21"/>
        </w:rPr>
      </w:pPr>
      <w:r/>
    </w:p>
    <w:p>
      <w:pPr>
        <w:ind w:left="1043" w:right="1016" w:firstLine="346"/>
        <w:spacing w:before="56" w:line="327" w:lineRule="auto"/>
        <w:rPr>
          <w:rFonts w:ascii="SimSun" w:hAnsi="SimSun" w:eastAsia="SimSun" w:cs="SimSun"/>
          <w:sz w:val="17"/>
          <w:szCs w:val="17"/>
        </w:rPr>
      </w:pPr>
      <w:r>
        <w:rPr>
          <w:rFonts w:ascii="SimSun" w:hAnsi="SimSun" w:eastAsia="SimSun" w:cs="SimSun"/>
          <w:sz w:val="17"/>
          <w:szCs w:val="17"/>
          <w:color w:val="333333"/>
          <w:spacing w:val="2"/>
        </w:rPr>
        <w:t>财政是国家治理的基础和重要支柱，政府及非营利组织会计是财政管理的一项重要基础工作。</w:t>
      </w:r>
      <w:r>
        <w:rPr>
          <w:rFonts w:ascii="SimSun" w:hAnsi="SimSun" w:eastAsia="SimSun" w:cs="SimSun"/>
          <w:sz w:val="17"/>
          <w:szCs w:val="17"/>
          <w:color w:val="333333"/>
          <w:spacing w:val="-53"/>
        </w:rPr>
        <w:t> </w:t>
      </w:r>
      <w:r>
        <w:rPr>
          <w:rFonts w:ascii="SimSun" w:hAnsi="SimSun" w:eastAsia="SimSun" w:cs="SimSun"/>
          <w:sz w:val="17"/>
          <w:szCs w:val="17"/>
          <w:color w:val="333333"/>
          <w:spacing w:val="2"/>
        </w:rPr>
        <w:t>《会计改革与发展“十四五”规</w:t>
      </w:r>
      <w:r>
        <w:rPr>
          <w:rFonts w:ascii="SimSun" w:hAnsi="SimSun" w:eastAsia="SimSun" w:cs="SimSun"/>
          <w:sz w:val="17"/>
          <w:szCs w:val="17"/>
          <w:color w:val="333333"/>
        </w:rPr>
        <w:t> </w:t>
      </w:r>
      <w:r>
        <w:rPr>
          <w:rFonts w:ascii="SimSun" w:hAnsi="SimSun" w:eastAsia="SimSun" w:cs="SimSun"/>
          <w:sz w:val="17"/>
          <w:szCs w:val="17"/>
          <w:color w:val="333333"/>
          <w:spacing w:val="2"/>
        </w:rPr>
        <w:t>划纲要》</w:t>
      </w:r>
      <w:r>
        <w:rPr>
          <w:rFonts w:ascii="SimSun" w:hAnsi="SimSun" w:eastAsia="SimSun" w:cs="SimSun"/>
          <w:sz w:val="17"/>
          <w:szCs w:val="17"/>
          <w:color w:val="333333"/>
          <w:spacing w:val="16"/>
        </w:rPr>
        <w:t> </w:t>
      </w:r>
      <w:r>
        <w:rPr>
          <w:rFonts w:ascii="SimSun" w:hAnsi="SimSun" w:eastAsia="SimSun" w:cs="SimSun"/>
          <w:sz w:val="17"/>
          <w:szCs w:val="17"/>
          <w:color w:val="333333"/>
          <w:spacing w:val="2"/>
        </w:rPr>
        <w:t>（以下简称《规划纲要》</w:t>
      </w:r>
      <w:r>
        <w:rPr>
          <w:rFonts w:ascii="SimSun" w:hAnsi="SimSun" w:eastAsia="SimSun" w:cs="SimSun"/>
          <w:sz w:val="17"/>
          <w:szCs w:val="17"/>
          <w:color w:val="333333"/>
          <w:spacing w:val="21"/>
        </w:rPr>
        <w:t> </w:t>
      </w:r>
      <w:r>
        <w:rPr>
          <w:rFonts w:ascii="SimSun" w:hAnsi="SimSun" w:eastAsia="SimSun" w:cs="SimSun"/>
          <w:sz w:val="17"/>
          <w:szCs w:val="17"/>
          <w:color w:val="333333"/>
          <w:spacing w:val="2"/>
        </w:rPr>
        <w:t>）紧密围绕财政中心工作和经济社会发展需要，站在会计改革与发展全局高度，提出了“十四</w:t>
      </w:r>
      <w:r>
        <w:rPr>
          <w:rFonts w:ascii="SimSun" w:hAnsi="SimSun" w:eastAsia="SimSun" w:cs="SimSun"/>
          <w:sz w:val="17"/>
          <w:szCs w:val="17"/>
          <w:color w:val="333333"/>
        </w:rPr>
        <w:t> </w:t>
      </w:r>
      <w:r>
        <w:rPr>
          <w:rFonts w:ascii="SimSun" w:hAnsi="SimSun" w:eastAsia="SimSun" w:cs="SimSun"/>
          <w:sz w:val="17"/>
          <w:szCs w:val="17"/>
          <w:color w:val="333333"/>
          <w:spacing w:val="2"/>
        </w:rPr>
        <w:t>五”时期政府及非营利组织会计改革的总体目标和主要任务，为新阶段政府及非营利组织会计改革工作指明了方向，是做好今后一</w:t>
      </w:r>
      <w:r>
        <w:rPr>
          <w:rFonts w:ascii="SimSun" w:hAnsi="SimSun" w:eastAsia="SimSun" w:cs="SimSun"/>
          <w:sz w:val="17"/>
          <w:szCs w:val="17"/>
          <w:color w:val="333333"/>
          <w:spacing w:val="35"/>
        </w:rPr>
        <w:t> </w:t>
      </w:r>
      <w:r>
        <w:rPr>
          <w:rFonts w:ascii="SimSun" w:hAnsi="SimSun" w:eastAsia="SimSun" w:cs="SimSun"/>
          <w:sz w:val="17"/>
          <w:szCs w:val="17"/>
          <w:color w:val="333333"/>
        </w:rPr>
        <w:t>段时期政府及非营利组织会计准则制度建设工作的行动纲领。</w:t>
      </w:r>
    </w:p>
    <w:p>
      <w:pPr>
        <w:ind w:firstLine="1401"/>
        <w:spacing w:before="107" w:line="187" w:lineRule="auto"/>
        <w:rPr>
          <w:rFonts w:ascii="SimSun" w:hAnsi="SimSun" w:eastAsia="SimSun" w:cs="SimSun"/>
          <w:sz w:val="17"/>
          <w:szCs w:val="17"/>
        </w:rPr>
      </w:pPr>
      <w:r>
        <w:rPr>
          <w:rFonts w:ascii="SimSun" w:hAnsi="SimSun" w:eastAsia="SimSun" w:cs="SimSun"/>
          <w:sz w:val="17"/>
          <w:szCs w:val="17"/>
          <w:color w:val="333333"/>
          <w:spacing w:val="11"/>
        </w:rPr>
        <w:t>一、</w:t>
      </w:r>
      <w:r>
        <w:rPr>
          <w:rFonts w:ascii="SimSun" w:hAnsi="SimSun" w:eastAsia="SimSun" w:cs="SimSun"/>
          <w:sz w:val="17"/>
          <w:szCs w:val="17"/>
          <w:color w:val="333333"/>
          <w:spacing w:val="-58"/>
        </w:rPr>
        <w:t> </w:t>
      </w:r>
      <w:r>
        <w:rPr>
          <w:rFonts w:ascii="SimSun" w:hAnsi="SimSun" w:eastAsia="SimSun" w:cs="SimSun"/>
          <w:sz w:val="17"/>
          <w:szCs w:val="17"/>
          <w:color w:val="333333"/>
          <w:spacing w:val="11"/>
        </w:rPr>
        <w:t>“十三五”时期政府及非营利组织会计改革成果丰硕</w:t>
      </w:r>
    </w:p>
    <w:p>
      <w:pPr>
        <w:ind w:left="1044" w:right="1016" w:firstLine="340"/>
        <w:spacing w:before="238" w:line="327" w:lineRule="auto"/>
        <w:rPr>
          <w:rFonts w:ascii="SimSun" w:hAnsi="SimSun" w:eastAsia="SimSun" w:cs="SimSun"/>
          <w:sz w:val="17"/>
          <w:szCs w:val="17"/>
        </w:rPr>
      </w:pPr>
      <w:r>
        <w:rPr>
          <w:rFonts w:ascii="SimSun" w:hAnsi="SimSun" w:eastAsia="SimSun" w:cs="SimSun"/>
          <w:sz w:val="17"/>
          <w:szCs w:val="17"/>
          <w:color w:val="333333"/>
          <w:spacing w:val="5"/>
        </w:rPr>
        <w:t>“十三五”期间，财政部按照党中央、国务院决策部署，立足中国国情，坚持问题导向，积极、稳妥、有序推进政府会计改</w:t>
      </w:r>
      <w:r>
        <w:rPr>
          <w:rFonts w:ascii="SimSun" w:hAnsi="SimSun" w:eastAsia="SimSun" w:cs="SimSun"/>
          <w:sz w:val="17"/>
          <w:szCs w:val="17"/>
          <w:color w:val="333333"/>
          <w:spacing w:val="47"/>
          <w:w w:val="101"/>
        </w:rPr>
        <w:t> </w:t>
      </w:r>
      <w:r>
        <w:rPr>
          <w:rFonts w:ascii="SimSun" w:hAnsi="SimSun" w:eastAsia="SimSun" w:cs="SimSun"/>
          <w:sz w:val="17"/>
          <w:szCs w:val="17"/>
          <w:color w:val="333333"/>
          <w:spacing w:val="4"/>
        </w:rPr>
        <w:t>革，基本建成具有中国特色的政府会计准则制度体系并推动其全面有效实施，同时不断完善非营利组织及基金（资金）</w:t>
      </w:r>
      <w:r>
        <w:rPr>
          <w:rFonts w:ascii="SimSun" w:hAnsi="SimSun" w:eastAsia="SimSun" w:cs="SimSun"/>
          <w:sz w:val="17"/>
          <w:szCs w:val="17"/>
          <w:color w:val="333333"/>
          <w:spacing w:val="9"/>
        </w:rPr>
        <w:t> </w:t>
      </w:r>
      <w:r>
        <w:rPr>
          <w:rFonts w:ascii="SimSun" w:hAnsi="SimSun" w:eastAsia="SimSun" w:cs="SimSun"/>
          <w:sz w:val="17"/>
          <w:szCs w:val="17"/>
          <w:color w:val="333333"/>
          <w:spacing w:val="4"/>
        </w:rPr>
        <w:t>类会计标</w:t>
      </w:r>
      <w:r>
        <w:rPr>
          <w:rFonts w:ascii="SimSun" w:hAnsi="SimSun" w:eastAsia="SimSun" w:cs="SimSun"/>
          <w:sz w:val="17"/>
          <w:szCs w:val="17"/>
          <w:color w:val="333333"/>
        </w:rPr>
        <w:t> </w:t>
      </w:r>
      <w:r>
        <w:rPr>
          <w:rFonts w:ascii="SimSun" w:hAnsi="SimSun" w:eastAsia="SimSun" w:cs="SimSun"/>
          <w:sz w:val="17"/>
          <w:szCs w:val="17"/>
          <w:color w:val="333333"/>
        </w:rPr>
        <w:t>准，圆满完成《会计改革与发展“十三五”规划纲要》</w:t>
      </w:r>
      <w:r>
        <w:rPr>
          <w:rFonts w:ascii="SimSun" w:hAnsi="SimSun" w:eastAsia="SimSun" w:cs="SimSun"/>
          <w:sz w:val="17"/>
          <w:szCs w:val="17"/>
          <w:color w:val="333333"/>
          <w:spacing w:val="63"/>
        </w:rPr>
        <w:t> </w:t>
      </w:r>
      <w:r>
        <w:rPr>
          <w:rFonts w:ascii="SimSun" w:hAnsi="SimSun" w:eastAsia="SimSun" w:cs="SimSun"/>
          <w:sz w:val="17"/>
          <w:szCs w:val="17"/>
          <w:color w:val="333333"/>
        </w:rPr>
        <w:t>确定的各项任务，在服务财政中心工作和促进经济社会健康发展等方面取得</w:t>
      </w:r>
      <w:r>
        <w:rPr>
          <w:rFonts w:ascii="SimSun" w:hAnsi="SimSun" w:eastAsia="SimSun" w:cs="SimSun"/>
          <w:sz w:val="17"/>
          <w:szCs w:val="17"/>
          <w:color w:val="333333"/>
        </w:rPr>
        <w:t> </w:t>
      </w:r>
      <w:r>
        <w:rPr>
          <w:rFonts w:ascii="SimSun" w:hAnsi="SimSun" w:eastAsia="SimSun" w:cs="SimSun"/>
          <w:sz w:val="17"/>
          <w:szCs w:val="17"/>
          <w:color w:val="333333"/>
          <w:spacing w:val="-4"/>
        </w:rPr>
        <w:t>积极成效。</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（一）政府会计准则制度体系基本建成。</w:t>
      </w:r>
    </w:p>
    <w:p>
      <w:pPr>
        <w:ind w:left="1042" w:right="1016" w:firstLine="348"/>
        <w:spacing w:before="238" w:line="327" w:lineRule="auto"/>
        <w:rPr>
          <w:rFonts w:ascii="SimSun" w:hAnsi="SimSun" w:eastAsia="SimSun" w:cs="SimSun"/>
          <w:sz w:val="17"/>
          <w:szCs w:val="17"/>
        </w:rPr>
      </w:pPr>
      <w:r>
        <w:rPr>
          <w:rFonts w:ascii="SimSun" w:hAnsi="SimSun" w:eastAsia="SimSun" w:cs="SimSun"/>
          <w:sz w:val="17"/>
          <w:szCs w:val="17"/>
          <w:color w:val="333333"/>
        </w:rPr>
        <w:t>按照国务院批转财政部的《权责发生制政府综合财务报告制度改革方案》</w:t>
      </w:r>
      <w:r>
        <w:rPr>
          <w:rFonts w:ascii="SimSun" w:hAnsi="SimSun" w:eastAsia="SimSun" w:cs="SimSun"/>
          <w:sz w:val="17"/>
          <w:szCs w:val="17"/>
          <w:color w:val="333333"/>
          <w:spacing w:val="56"/>
        </w:rPr>
        <w:t> </w:t>
      </w:r>
      <w:r>
        <w:rPr>
          <w:rFonts w:ascii="SimSun" w:hAnsi="SimSun" w:eastAsia="SimSun" w:cs="SimSun"/>
          <w:sz w:val="17"/>
          <w:szCs w:val="17"/>
          <w:color w:val="333333"/>
        </w:rPr>
        <w:t>的要求，在2015年出台的《政府会计准则——基本准</w:t>
      </w:r>
      <w:r>
        <w:rPr>
          <w:rFonts w:ascii="SimSun" w:hAnsi="SimSun" w:eastAsia="SimSun" w:cs="SimSun"/>
          <w:sz w:val="17"/>
          <w:szCs w:val="17"/>
          <w:color w:val="333333"/>
        </w:rPr>
        <w:t> </w:t>
      </w:r>
      <w:r>
        <w:rPr>
          <w:rFonts w:ascii="SimSun" w:hAnsi="SimSun" w:eastAsia="SimSun" w:cs="SimSun"/>
          <w:sz w:val="17"/>
          <w:szCs w:val="17"/>
          <w:color w:val="333333"/>
        </w:rPr>
        <w:t>则》</w:t>
      </w:r>
      <w:r>
        <w:rPr>
          <w:rFonts w:ascii="SimSun" w:hAnsi="SimSun" w:eastAsia="SimSun" w:cs="SimSun"/>
          <w:sz w:val="17"/>
          <w:szCs w:val="17"/>
          <w:color w:val="333333"/>
          <w:spacing w:val="65"/>
        </w:rPr>
        <w:t> </w:t>
      </w:r>
      <w:r>
        <w:rPr>
          <w:rFonts w:ascii="SimSun" w:hAnsi="SimSun" w:eastAsia="SimSun" w:cs="SimSun"/>
          <w:sz w:val="17"/>
          <w:szCs w:val="17"/>
          <w:color w:val="333333"/>
        </w:rPr>
        <w:t>基础上，相继印发了存货、投资、固定资产、无形资产、公共基础设施、政府储备物资、负债、会计调整、财务报表编制和列</w:t>
      </w:r>
      <w:r>
        <w:rPr>
          <w:rFonts w:ascii="SimSun" w:hAnsi="SimSun" w:eastAsia="SimSun" w:cs="SimSun"/>
          <w:sz w:val="17"/>
          <w:szCs w:val="17"/>
          <w:color w:val="333333"/>
        </w:rPr>
        <w:t> </w:t>
      </w:r>
      <w:r>
        <w:rPr>
          <w:rFonts w:ascii="SimSun" w:hAnsi="SimSun" w:eastAsia="SimSun" w:cs="SimSun"/>
          <w:sz w:val="17"/>
          <w:szCs w:val="17"/>
          <w:color w:val="333333"/>
          <w:spacing w:val="2"/>
        </w:rPr>
        <w:t>报、政府和社会资本合作项目合同等10项具体准则及2项具体准则应用指南，1项统一适用于行政事业单位的《政府会计制度——行</w:t>
      </w:r>
      <w:r>
        <w:rPr>
          <w:rFonts w:ascii="SimSun" w:hAnsi="SimSun" w:eastAsia="SimSun" w:cs="SimSun"/>
          <w:sz w:val="17"/>
          <w:szCs w:val="17"/>
          <w:color w:val="333333"/>
          <w:spacing w:val="32"/>
        </w:rPr>
        <w:t> </w:t>
      </w:r>
      <w:r>
        <w:rPr>
          <w:rFonts w:ascii="SimSun" w:hAnsi="SimSun" w:eastAsia="SimSun" w:cs="SimSun"/>
          <w:sz w:val="17"/>
          <w:szCs w:val="17"/>
          <w:color w:val="333333"/>
          <w:spacing w:val="-2"/>
        </w:rPr>
        <w:t>政事业单位会计科目和报表》</w:t>
      </w:r>
      <w:r>
        <w:rPr>
          <w:rFonts w:ascii="SimSun" w:hAnsi="SimSun" w:eastAsia="SimSun" w:cs="SimSun"/>
          <w:sz w:val="17"/>
          <w:szCs w:val="17"/>
          <w:color w:val="333333"/>
          <w:spacing w:val="8"/>
        </w:rPr>
        <w:t> </w:t>
      </w:r>
      <w:r>
        <w:rPr>
          <w:rFonts w:ascii="SimSun" w:hAnsi="SimSun" w:eastAsia="SimSun" w:cs="SimSun"/>
          <w:sz w:val="17"/>
          <w:szCs w:val="17"/>
          <w:color w:val="333333"/>
          <w:spacing w:val="-2"/>
        </w:rPr>
        <w:t>（以下简称《政府会计制度》</w:t>
      </w:r>
      <w:r>
        <w:rPr>
          <w:rFonts w:ascii="SimSun" w:hAnsi="SimSun" w:eastAsia="SimSun" w:cs="SimSun"/>
          <w:sz w:val="17"/>
          <w:szCs w:val="17"/>
          <w:color w:val="333333"/>
          <w:spacing w:val="19"/>
        </w:rPr>
        <w:t> </w:t>
      </w:r>
      <w:r>
        <w:rPr>
          <w:rFonts w:ascii="SimSun" w:hAnsi="SimSun" w:eastAsia="SimSun" w:cs="SimSun"/>
          <w:sz w:val="17"/>
          <w:szCs w:val="17"/>
          <w:color w:val="333333"/>
          <w:spacing w:val="25"/>
        </w:rPr>
        <w:t>），</w:t>
      </w:r>
      <w:r>
        <w:rPr>
          <w:rFonts w:ascii="SimSun" w:hAnsi="SimSun" w:eastAsia="SimSun" w:cs="SimSun"/>
          <w:sz w:val="17"/>
          <w:szCs w:val="17"/>
          <w:color w:val="333333"/>
          <w:spacing w:val="-2"/>
        </w:rPr>
        <w:t>7项行业事业单位执行《政府会计制度》</w:t>
      </w:r>
      <w:r>
        <w:rPr>
          <w:rFonts w:ascii="SimSun" w:hAnsi="SimSun" w:eastAsia="SimSun" w:cs="SimSun"/>
          <w:sz w:val="17"/>
          <w:szCs w:val="17"/>
          <w:color w:val="333333"/>
          <w:spacing w:val="15"/>
        </w:rPr>
        <w:t> </w:t>
      </w:r>
      <w:r>
        <w:rPr>
          <w:rFonts w:ascii="SimSun" w:hAnsi="SimSun" w:eastAsia="SimSun" w:cs="SimSun"/>
          <w:sz w:val="17"/>
          <w:szCs w:val="17"/>
          <w:color w:val="333333"/>
          <w:spacing w:val="-2"/>
        </w:rPr>
        <w:t>的补充规定及11项新旧会</w:t>
      </w:r>
      <w:r>
        <w:rPr>
          <w:rFonts w:ascii="SimSun" w:hAnsi="SimSun" w:eastAsia="SimSun" w:cs="SimSun"/>
          <w:sz w:val="17"/>
          <w:szCs w:val="17"/>
          <w:color w:val="333333"/>
        </w:rPr>
        <w:t> </w:t>
      </w:r>
      <w:r>
        <w:rPr>
          <w:rFonts w:ascii="SimSun" w:hAnsi="SimSun" w:eastAsia="SimSun" w:cs="SimSun"/>
          <w:sz w:val="17"/>
          <w:szCs w:val="17"/>
          <w:color w:val="333333"/>
          <w:spacing w:val="4"/>
        </w:rPr>
        <w:t>计制度衔接规定，3项政府会计准则制度解释以及事业单位成本核算基本指引，构建了政府预算会计和财务会计适度分离又相互衔</w:t>
      </w:r>
      <w:r>
        <w:rPr>
          <w:rFonts w:ascii="SimSun" w:hAnsi="SimSun" w:eastAsia="SimSun" w:cs="SimSun"/>
          <w:sz w:val="17"/>
          <w:szCs w:val="17"/>
          <w:color w:val="333333"/>
          <w:spacing w:val="7"/>
        </w:rPr>
        <w:t> </w:t>
      </w:r>
      <w:r>
        <w:rPr>
          <w:rFonts w:ascii="SimSun" w:hAnsi="SimSun" w:eastAsia="SimSun" w:cs="SimSun"/>
          <w:sz w:val="17"/>
          <w:szCs w:val="17"/>
          <w:color w:val="333333"/>
          <w:spacing w:val="2"/>
        </w:rPr>
        <w:t>接的政府会计核算模式，基本建立起一套与我国现代财政制度相适应的具有中国特色的政府会计准则制度体系。此外，积极参与国</w:t>
      </w:r>
      <w:r>
        <w:rPr>
          <w:rFonts w:ascii="SimSun" w:hAnsi="SimSun" w:eastAsia="SimSun" w:cs="SimSun"/>
          <w:sz w:val="17"/>
          <w:szCs w:val="17"/>
          <w:color w:val="333333"/>
          <w:spacing w:val="36"/>
        </w:rPr>
        <w:t> </w:t>
      </w:r>
      <w:r>
        <w:rPr>
          <w:rFonts w:ascii="SimSun" w:hAnsi="SimSun" w:eastAsia="SimSun" w:cs="SimSun"/>
          <w:sz w:val="17"/>
          <w:szCs w:val="17"/>
          <w:color w:val="333333"/>
          <w:spacing w:val="1"/>
        </w:rPr>
        <w:t>际公共部门会计准则建设，不断提升我国在国际公共部门会计标准制定中的话语权和影响力。</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（二）政府会计准则制度全面实施并取得积极成效。</w:t>
      </w:r>
    </w:p>
    <w:p>
      <w:pPr>
        <w:ind w:firstLine="1388"/>
        <w:spacing w:before="237" w:line="187" w:lineRule="auto"/>
        <w:rPr>
          <w:rFonts w:ascii="SimSun" w:hAnsi="SimSun" w:eastAsia="SimSun" w:cs="SimSun"/>
          <w:sz w:val="17"/>
          <w:szCs w:val="17"/>
        </w:rPr>
      </w:pPr>
      <w:r>
        <w:rPr>
          <w:rFonts w:ascii="SimSun" w:hAnsi="SimSun" w:eastAsia="SimSun" w:cs="SimSun"/>
          <w:sz w:val="17"/>
          <w:szCs w:val="17"/>
          <w:color w:val="333333"/>
          <w:spacing w:val="1"/>
        </w:rPr>
        <w:t>政府会计准则制度自2019年1月1</w:t>
      </w:r>
      <w:r>
        <w:rPr>
          <w:rFonts w:ascii="SimSun" w:hAnsi="SimSun" w:eastAsia="SimSun" w:cs="SimSun"/>
          <w:sz w:val="17"/>
          <w:szCs w:val="17"/>
          <w:color w:val="333333"/>
          <w:w w:val="101"/>
        </w:rPr>
        <w:t> </w:t>
      </w:r>
      <w:r>
        <w:rPr>
          <w:rFonts w:ascii="SimSun" w:hAnsi="SimSun" w:eastAsia="SimSun" w:cs="SimSun"/>
          <w:sz w:val="17"/>
          <w:szCs w:val="17"/>
          <w:color w:val="333333"/>
          <w:spacing w:val="1"/>
        </w:rPr>
        <w:t>日起在全国各级各类行政事业单位全面实施，实施工作总体有序、平稳、顺利，并取得积极成</w:t>
      </w:r>
    </w:p>
    <w:p>
      <w:pPr>
        <w:ind w:left="1045" w:right="1016" w:firstLine="2"/>
        <w:spacing w:before="130" w:line="327" w:lineRule="auto"/>
        <w:rPr>
          <w:rFonts w:ascii="SimSun" w:hAnsi="SimSun" w:eastAsia="SimSun" w:cs="SimSun"/>
          <w:sz w:val="17"/>
          <w:szCs w:val="17"/>
        </w:rPr>
      </w:pPr>
      <w:r>
        <w:rPr>
          <w:rFonts w:ascii="SimSun" w:hAnsi="SimSun" w:eastAsia="SimSun" w:cs="SimSun"/>
          <w:sz w:val="17"/>
          <w:szCs w:val="17"/>
          <w:color w:val="333333"/>
          <w:spacing w:val="-3"/>
        </w:rPr>
        <w:t>效：</w:t>
      </w:r>
      <w:r>
        <w:rPr>
          <w:rFonts w:ascii="SimSun" w:hAnsi="SimSun" w:eastAsia="SimSun" w:cs="SimSun"/>
          <w:sz w:val="17"/>
          <w:szCs w:val="17"/>
          <w:color w:val="333333"/>
          <w:spacing w:val="99"/>
        </w:rPr>
        <w:t> </w:t>
      </w:r>
      <w:r>
        <w:rPr>
          <w:rFonts w:ascii="SimSun" w:hAnsi="SimSun" w:eastAsia="SimSun" w:cs="SimSun"/>
          <w:sz w:val="17"/>
          <w:szCs w:val="17"/>
          <w:color w:val="333333"/>
          <w:spacing w:val="-3"/>
        </w:rPr>
        <w:t>一是更加准确反映预算执行情况，提高了部门决算编报质量；</w:t>
      </w:r>
      <w:r>
        <w:rPr>
          <w:rFonts w:ascii="SimSun" w:hAnsi="SimSun" w:eastAsia="SimSun" w:cs="SimSun"/>
          <w:sz w:val="17"/>
          <w:szCs w:val="17"/>
          <w:color w:val="333333"/>
          <w:spacing w:val="46"/>
        </w:rPr>
        <w:t> </w:t>
      </w:r>
      <w:r>
        <w:rPr>
          <w:rFonts w:ascii="SimSun" w:hAnsi="SimSun" w:eastAsia="SimSun" w:cs="SimSun"/>
          <w:sz w:val="17"/>
          <w:szCs w:val="17"/>
          <w:color w:val="333333"/>
          <w:spacing w:val="-3"/>
        </w:rPr>
        <w:t>二是更加完整反映政府财务状况，为政府财务报告编制奠定了核</w:t>
      </w:r>
      <w:r>
        <w:rPr>
          <w:rFonts w:ascii="SimSun" w:hAnsi="SimSun" w:eastAsia="SimSun" w:cs="SimSun"/>
          <w:sz w:val="17"/>
          <w:szCs w:val="17"/>
          <w:color w:val="333333"/>
        </w:rPr>
        <w:t> </w:t>
      </w:r>
      <w:r>
        <w:rPr>
          <w:rFonts w:ascii="SimSun" w:hAnsi="SimSun" w:eastAsia="SimSun" w:cs="SimSun"/>
          <w:sz w:val="17"/>
          <w:szCs w:val="17"/>
          <w:color w:val="333333"/>
          <w:spacing w:val="-3"/>
        </w:rPr>
        <w:t>算基础；</w:t>
      </w:r>
      <w:r>
        <w:rPr>
          <w:rFonts w:ascii="SimSun" w:hAnsi="SimSun" w:eastAsia="SimSun" w:cs="SimSun"/>
          <w:sz w:val="17"/>
          <w:szCs w:val="17"/>
          <w:color w:val="333333"/>
          <w:spacing w:val="67"/>
        </w:rPr>
        <w:t> </w:t>
      </w:r>
      <w:r>
        <w:rPr>
          <w:rFonts w:ascii="SimSun" w:hAnsi="SimSun" w:eastAsia="SimSun" w:cs="SimSun"/>
          <w:sz w:val="17"/>
          <w:szCs w:val="17"/>
          <w:color w:val="333333"/>
          <w:spacing w:val="-3"/>
        </w:rPr>
        <w:t>三是进一步摸清了政府资产负债“家底”</w:t>
      </w:r>
      <w:r>
        <w:rPr>
          <w:rFonts w:ascii="SimSun" w:hAnsi="SimSun" w:eastAsia="SimSun" w:cs="SimSun"/>
          <w:sz w:val="17"/>
          <w:szCs w:val="17"/>
          <w:color w:val="333333"/>
          <w:spacing w:val="-64"/>
        </w:rPr>
        <w:t> </w:t>
      </w:r>
      <w:r>
        <w:rPr>
          <w:rFonts w:ascii="SimSun" w:hAnsi="SimSun" w:eastAsia="SimSun" w:cs="SimSun"/>
          <w:sz w:val="17"/>
          <w:szCs w:val="17"/>
          <w:color w:val="333333"/>
          <w:spacing w:val="-3"/>
        </w:rPr>
        <w:t>，夯实了行政事业性国有资产报告的编制基础；</w:t>
      </w:r>
      <w:r>
        <w:rPr>
          <w:rFonts w:ascii="SimSun" w:hAnsi="SimSun" w:eastAsia="SimSun" w:cs="SimSun"/>
          <w:sz w:val="17"/>
          <w:szCs w:val="17"/>
          <w:color w:val="333333"/>
          <w:spacing w:val="60"/>
        </w:rPr>
        <w:t> </w:t>
      </w:r>
      <w:r>
        <w:rPr>
          <w:rFonts w:ascii="SimSun" w:hAnsi="SimSun" w:eastAsia="SimSun" w:cs="SimSun"/>
          <w:sz w:val="17"/>
          <w:szCs w:val="17"/>
          <w:color w:val="333333"/>
          <w:spacing w:val="-3"/>
        </w:rPr>
        <w:t>四是准确反映成本费用信息，为</w:t>
      </w:r>
      <w:r>
        <w:rPr>
          <w:rFonts w:ascii="SimSun" w:hAnsi="SimSun" w:eastAsia="SimSun" w:cs="SimSun"/>
          <w:sz w:val="17"/>
          <w:szCs w:val="17"/>
          <w:color w:val="333333"/>
        </w:rPr>
        <w:t> </w:t>
      </w:r>
      <w:r>
        <w:rPr>
          <w:rFonts w:ascii="SimSun" w:hAnsi="SimSun" w:eastAsia="SimSun" w:cs="SimSun"/>
          <w:sz w:val="17"/>
          <w:szCs w:val="17"/>
          <w:color w:val="333333"/>
        </w:rPr>
        <w:t>预算单位推进成本核算、完善绩效管理提供了支撑；</w:t>
      </w:r>
      <w:r>
        <w:rPr>
          <w:rFonts w:ascii="SimSun" w:hAnsi="SimSun" w:eastAsia="SimSun" w:cs="SimSun"/>
          <w:sz w:val="17"/>
          <w:szCs w:val="17"/>
          <w:color w:val="333333"/>
          <w:spacing w:val="62"/>
        </w:rPr>
        <w:t> </w:t>
      </w:r>
      <w:r>
        <w:rPr>
          <w:rFonts w:ascii="SimSun" w:hAnsi="SimSun" w:eastAsia="SimSun" w:cs="SimSun"/>
          <w:sz w:val="17"/>
          <w:szCs w:val="17"/>
          <w:color w:val="333333"/>
        </w:rPr>
        <w:t>五是显著提升了行政事业单位财务会计人员的专业素质，促进了单位财务管理</w:t>
      </w:r>
      <w:r>
        <w:rPr>
          <w:rFonts w:ascii="SimSun" w:hAnsi="SimSun" w:eastAsia="SimSun" w:cs="SimSun"/>
          <w:sz w:val="17"/>
          <w:szCs w:val="17"/>
          <w:color w:val="333333"/>
        </w:rPr>
        <w:t> </w:t>
      </w:r>
      <w:r>
        <w:rPr>
          <w:rFonts w:ascii="SimSun" w:hAnsi="SimSun" w:eastAsia="SimSun" w:cs="SimSun"/>
          <w:sz w:val="17"/>
          <w:szCs w:val="17"/>
          <w:color w:val="333333"/>
          <w:spacing w:val="-3"/>
        </w:rPr>
        <w:t>水平的提升。</w:t>
      </w:r>
    </w:p>
    <w:p>
      <w:pPr>
        <w:ind w:left="1043" w:right="1016" w:firstLine="351"/>
        <w:spacing w:before="108" w:line="327" w:lineRule="auto"/>
        <w:rPr>
          <w:rFonts w:ascii="SimSun" w:hAnsi="SimSun" w:eastAsia="SimSun" w:cs="SimSun"/>
          <w:sz w:val="17"/>
          <w:szCs w:val="17"/>
        </w:rPr>
      </w:pPr>
      <w:r>
        <w:rPr>
          <w:rFonts w:ascii="SimSun" w:hAnsi="SimSun" w:eastAsia="SimSun" w:cs="SimSun"/>
          <w:sz w:val="17"/>
          <w:szCs w:val="17"/>
          <w:color w:val="333333"/>
          <w:spacing w:val="5"/>
        </w:rPr>
        <w:t>在此过程中，财政部通过印发实施通知、组织宣传培训、联合部门开展调研等方式，多措并举推动政府会计准则制度贯彻实</w:t>
      </w:r>
      <w:r>
        <w:rPr>
          <w:rFonts w:ascii="SimSun" w:hAnsi="SimSun" w:eastAsia="SimSun" w:cs="SimSun"/>
          <w:sz w:val="17"/>
          <w:szCs w:val="17"/>
          <w:color w:val="333333"/>
          <w:spacing w:val="37"/>
        </w:rPr>
        <w:t> </w:t>
      </w:r>
      <w:r>
        <w:rPr>
          <w:rFonts w:ascii="SimSun" w:hAnsi="SimSun" w:eastAsia="SimSun" w:cs="SimSun"/>
          <w:sz w:val="17"/>
          <w:szCs w:val="17"/>
          <w:color w:val="333333"/>
          <w:spacing w:val="1"/>
        </w:rPr>
        <w:t>施；同时，建立健全政府会计准则委员会咨询专家机制和工作联系点单位机制，促进准则制度高质量实施。</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（三）非营利组织和基金（资金）类会计标准更加健全。</w:t>
      </w:r>
    </w:p>
    <w:p>
      <w:pPr>
        <w:ind w:left="1043" w:right="1016" w:firstLine="348"/>
        <w:spacing w:before="238" w:line="327" w:lineRule="auto"/>
        <w:rPr>
          <w:rFonts w:ascii="SimSun" w:hAnsi="SimSun" w:eastAsia="SimSun" w:cs="SimSun"/>
          <w:sz w:val="17"/>
          <w:szCs w:val="17"/>
        </w:rPr>
      </w:pPr>
      <w:r>
        <w:rPr>
          <w:rFonts w:ascii="SimSun" w:hAnsi="SimSun" w:eastAsia="SimSun" w:cs="SimSun"/>
          <w:sz w:val="17"/>
          <w:szCs w:val="17"/>
          <w:color w:val="333333"/>
        </w:rPr>
        <w:t>为促进社会组织健康发展，制定发布《&lt;民间非营利组织会计制度&gt;若干问题的解释》</w:t>
      </w:r>
      <w:r>
        <w:rPr>
          <w:rFonts w:ascii="SimSun" w:hAnsi="SimSun" w:eastAsia="SimSun" w:cs="SimSun"/>
          <w:sz w:val="17"/>
          <w:szCs w:val="17"/>
          <w:color w:val="333333"/>
          <w:spacing w:val="56"/>
        </w:rPr>
        <w:t> </w:t>
      </w:r>
      <w:r>
        <w:rPr>
          <w:rFonts w:ascii="SimSun" w:hAnsi="SimSun" w:eastAsia="SimSun" w:cs="SimSun"/>
          <w:sz w:val="17"/>
          <w:szCs w:val="17"/>
          <w:color w:val="333333"/>
        </w:rPr>
        <w:t>，进一步明确民间非营利组织有关经济业</w:t>
      </w:r>
      <w:r>
        <w:rPr>
          <w:rFonts w:ascii="SimSun" w:hAnsi="SimSun" w:eastAsia="SimSun" w:cs="SimSun"/>
          <w:sz w:val="17"/>
          <w:szCs w:val="17"/>
          <w:color w:val="333333"/>
        </w:rPr>
        <w:t> </w:t>
      </w:r>
      <w:r>
        <w:rPr>
          <w:rFonts w:ascii="SimSun" w:hAnsi="SimSun" w:eastAsia="SimSun" w:cs="SimSun"/>
          <w:sz w:val="17"/>
          <w:szCs w:val="17"/>
          <w:color w:val="333333"/>
          <w:spacing w:val="1"/>
        </w:rPr>
        <w:t>务或事项的会计处理；</w:t>
      </w:r>
      <w:r>
        <w:rPr>
          <w:rFonts w:ascii="SimSun" w:hAnsi="SimSun" w:eastAsia="SimSun" w:cs="SimSun"/>
          <w:sz w:val="17"/>
          <w:szCs w:val="17"/>
          <w:color w:val="333333"/>
          <w:spacing w:val="76"/>
          <w:w w:val="101"/>
        </w:rPr>
        <w:t> </w:t>
      </w:r>
      <w:r>
        <w:rPr>
          <w:rFonts w:ascii="SimSun" w:hAnsi="SimSun" w:eastAsia="SimSun" w:cs="SimSun"/>
          <w:sz w:val="17"/>
          <w:szCs w:val="17"/>
          <w:color w:val="333333"/>
          <w:spacing w:val="1"/>
        </w:rPr>
        <w:t>配合我国社会保障体系建设需要，修订发布《社会保险基金会计制度》</w:t>
      </w:r>
      <w:r>
        <w:rPr>
          <w:rFonts w:ascii="SimSun" w:hAnsi="SimSun" w:eastAsia="SimSun" w:cs="SimSun"/>
          <w:sz w:val="17"/>
          <w:szCs w:val="17"/>
          <w:color w:val="333333"/>
          <w:spacing w:val="16"/>
        </w:rPr>
        <w:t> </w:t>
      </w:r>
      <w:r>
        <w:rPr>
          <w:rFonts w:ascii="SimSun" w:hAnsi="SimSun" w:eastAsia="SimSun" w:cs="SimSun"/>
          <w:sz w:val="17"/>
          <w:szCs w:val="17"/>
          <w:color w:val="333333"/>
          <w:spacing w:val="1"/>
        </w:rPr>
        <w:t>，为更加准确、完整记录“民生账</w:t>
      </w:r>
      <w:r>
        <w:rPr>
          <w:rFonts w:ascii="SimSun" w:hAnsi="SimSun" w:eastAsia="SimSun" w:cs="SimSun"/>
          <w:sz w:val="17"/>
          <w:szCs w:val="17"/>
          <w:color w:val="333333"/>
        </w:rPr>
        <w:t> </w:t>
      </w:r>
      <w:r>
        <w:rPr>
          <w:rFonts w:ascii="SimSun" w:hAnsi="SimSun" w:eastAsia="SimSun" w:cs="SimSun"/>
          <w:sz w:val="17"/>
          <w:szCs w:val="17"/>
          <w:color w:val="333333"/>
          <w:spacing w:val="-2"/>
        </w:rPr>
        <w:t>本”提供制度依据；</w:t>
      </w:r>
      <w:r>
        <w:rPr>
          <w:rFonts w:ascii="SimSun" w:hAnsi="SimSun" w:eastAsia="SimSun" w:cs="SimSun"/>
          <w:sz w:val="17"/>
          <w:szCs w:val="17"/>
          <w:color w:val="333333"/>
          <w:spacing w:val="80"/>
        </w:rPr>
        <w:t> </w:t>
      </w:r>
      <w:r>
        <w:rPr>
          <w:rFonts w:ascii="SimSun" w:hAnsi="SimSun" w:eastAsia="SimSun" w:cs="SimSun"/>
          <w:sz w:val="17"/>
          <w:szCs w:val="17"/>
          <w:color w:val="333333"/>
          <w:spacing w:val="-2"/>
        </w:rPr>
        <w:t>制定发布《住宅专项维修资金会计核算办法》</w:t>
      </w:r>
      <w:r>
        <w:rPr>
          <w:rFonts w:ascii="SimSun" w:hAnsi="SimSun" w:eastAsia="SimSun" w:cs="SimSun"/>
          <w:sz w:val="17"/>
          <w:szCs w:val="17"/>
          <w:color w:val="333333"/>
          <w:spacing w:val="13"/>
        </w:rPr>
        <w:t> </w:t>
      </w:r>
      <w:r>
        <w:rPr>
          <w:rFonts w:ascii="SimSun" w:hAnsi="SimSun" w:eastAsia="SimSun" w:cs="SimSun"/>
          <w:sz w:val="17"/>
          <w:szCs w:val="17"/>
          <w:color w:val="333333"/>
          <w:spacing w:val="-2"/>
        </w:rPr>
        <w:t>，进一步规范维修资金的会计核算，促进维修资金的规范管理和</w:t>
      </w:r>
      <w:r>
        <w:rPr>
          <w:rFonts w:ascii="SimSun" w:hAnsi="SimSun" w:eastAsia="SimSun" w:cs="SimSun"/>
          <w:sz w:val="17"/>
          <w:szCs w:val="17"/>
          <w:color w:val="333333"/>
        </w:rPr>
        <w:t> </w:t>
      </w:r>
      <w:r>
        <w:rPr>
          <w:rFonts w:ascii="SimSun" w:hAnsi="SimSun" w:eastAsia="SimSun" w:cs="SimSun"/>
          <w:sz w:val="17"/>
          <w:szCs w:val="17"/>
          <w:color w:val="333333"/>
          <w:spacing w:val="-4"/>
        </w:rPr>
        <w:t>安全有效使用；</w:t>
      </w:r>
      <w:r>
        <w:rPr>
          <w:rFonts w:ascii="SimSun" w:hAnsi="SimSun" w:eastAsia="SimSun" w:cs="SimSun"/>
          <w:sz w:val="17"/>
          <w:szCs w:val="17"/>
          <w:color w:val="333333"/>
          <w:spacing w:val="84"/>
        </w:rPr>
        <w:t> </w:t>
      </w:r>
      <w:r>
        <w:rPr>
          <w:rFonts w:ascii="SimSun" w:hAnsi="SimSun" w:eastAsia="SimSun" w:cs="SimSun"/>
          <w:sz w:val="17"/>
          <w:szCs w:val="17"/>
          <w:color w:val="333333"/>
          <w:spacing w:val="-4"/>
        </w:rPr>
        <w:t>审核批准印发《北京2022年冬奥会和冬残奥会组织委员会会计核算办法》</w:t>
      </w:r>
      <w:r>
        <w:rPr>
          <w:rFonts w:ascii="SimSun" w:hAnsi="SimSun" w:eastAsia="SimSun" w:cs="SimSun"/>
          <w:sz w:val="17"/>
          <w:szCs w:val="17"/>
          <w:color w:val="333333"/>
          <w:spacing w:val="13"/>
        </w:rPr>
        <w:t> </w:t>
      </w:r>
      <w:r>
        <w:rPr>
          <w:rFonts w:ascii="SimSun" w:hAnsi="SimSun" w:eastAsia="SimSun" w:cs="SimSun"/>
          <w:sz w:val="17"/>
          <w:szCs w:val="17"/>
          <w:color w:val="333333"/>
          <w:spacing w:val="-4"/>
        </w:rPr>
        <w:t>，以规范北京冬奥组委的会计核算；</w:t>
      </w:r>
      <w:r>
        <w:rPr>
          <w:rFonts w:ascii="SimSun" w:hAnsi="SimSun" w:eastAsia="SimSun" w:cs="SimSun"/>
          <w:sz w:val="17"/>
          <w:szCs w:val="17"/>
          <w:color w:val="333333"/>
          <w:spacing w:val="33"/>
        </w:rPr>
        <w:t> </w:t>
      </w:r>
      <w:r>
        <w:rPr>
          <w:rFonts w:ascii="SimSun" w:hAnsi="SimSun" w:eastAsia="SimSun" w:cs="SimSun"/>
          <w:sz w:val="17"/>
          <w:szCs w:val="17"/>
          <w:color w:val="333333"/>
          <w:spacing w:val="-4"/>
        </w:rPr>
        <w:t>对工</w:t>
      </w:r>
      <w:r>
        <w:rPr>
          <w:rFonts w:ascii="SimSun" w:hAnsi="SimSun" w:eastAsia="SimSun" w:cs="SimSun"/>
          <w:sz w:val="17"/>
          <w:szCs w:val="17"/>
          <w:color w:val="333333"/>
        </w:rPr>
        <w:t> </w:t>
      </w:r>
      <w:r>
        <w:rPr>
          <w:rFonts w:ascii="SimSun" w:hAnsi="SimSun" w:eastAsia="SimSun" w:cs="SimSun"/>
          <w:sz w:val="17"/>
          <w:szCs w:val="17"/>
          <w:color w:val="333333"/>
          <w:spacing w:val="1"/>
        </w:rPr>
        <w:t>会会计、土地储备资金会计和职业年金基金会计执行情况等进行深入调查研究，为修订完善相关会计标准奠定基础。</w:t>
      </w:r>
    </w:p>
    <w:p>
      <w:pPr>
        <w:spacing w:line="260"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2"/>
        </w:rPr>
        <w:t>kjs.mof.gov.cn/zhengcejiedu/202112/t20211230_3779801.htm</w:t>
      </w:r>
      <w:r>
        <w:rPr>
          <w:rFonts w:ascii="Arial" w:hAnsi="Arial" w:eastAsia="Arial" w:cs="Arial"/>
          <w:sz w:val="16"/>
          <w:szCs w:val="16"/>
          <w:w w:val="101"/>
        </w:rPr>
        <w:t>                                                                                                                                            </w:t>
      </w:r>
      <w:r>
        <w:rPr>
          <w:rFonts w:ascii="Arial" w:hAnsi="Arial" w:eastAsia="Arial" w:cs="Arial"/>
          <w:sz w:val="16"/>
          <w:szCs w:val="16"/>
          <w:spacing w:val="-2"/>
        </w:rPr>
        <w:t>1/5</w:t>
      </w:r>
    </w:p>
    <w:p>
      <w:pPr>
        <w:sectPr>
          <w:type w:val="continuous"/>
          <w:pgSz w:w="11900" w:h="16839"/>
          <w:pgMar w:top="0" w:right="0" w:bottom="0" w:left="0" w:header="0" w:footer="0" w:gutter="0"/>
          <w:cols w:equalWidth="0" w:num="1">
            <w:col w:w="11900" w:space="0"/>
          </w:cols>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w w:val="102"/>
          <w:position w:val="1"/>
        </w:rPr>
        <w:t>                                </w:t>
      </w:r>
      <w:r>
        <w:rPr>
          <w:rFonts w:ascii="Microsoft YaHei" w:hAnsi="Microsoft YaHei" w:eastAsia="Microsoft YaHei" w:cs="Microsoft YaHei"/>
          <w:sz w:val="16"/>
          <w:szCs w:val="16"/>
          <w:spacing w:val="-2"/>
        </w:rPr>
        <w:t>深化政府及非营利组织会计改革</w:t>
      </w:r>
      <w:r>
        <w:rPr>
          <w:rFonts w:ascii="Microsoft YaHei" w:hAnsi="Microsoft YaHei" w:eastAsia="Microsoft YaHei" w:cs="Microsoft YaHei"/>
          <w:sz w:val="16"/>
          <w:szCs w:val="16"/>
          <w:spacing w:val="1"/>
        </w:rPr>
        <w:t> </w:t>
      </w:r>
      <w:r>
        <w:rPr>
          <w:rFonts w:ascii="Microsoft YaHei" w:hAnsi="Microsoft YaHei" w:eastAsia="Microsoft YaHei" w:cs="Microsoft YaHei"/>
          <w:sz w:val="16"/>
          <w:szCs w:val="16"/>
          <w:spacing w:val="-2"/>
        </w:rPr>
        <w:t>夯实现代财政制度基础</w:t>
      </w:r>
      <w:r>
        <w:rPr>
          <w:rFonts w:ascii="Arial" w:hAnsi="Arial" w:eastAsia="Arial" w:cs="Arial"/>
          <w:sz w:val="16"/>
          <w:szCs w:val="16"/>
          <w:spacing w:val="-2"/>
        </w:rPr>
        <w:t>——</w:t>
      </w:r>
      <w:r>
        <w:rPr>
          <w:rFonts w:ascii="Arial" w:hAnsi="Arial" w:eastAsia="Arial" w:cs="Arial"/>
          <w:sz w:val="16"/>
          <w:szCs w:val="16"/>
          <w:spacing w:val="33"/>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规划纲要》系列解读之二</w:t>
      </w:r>
    </w:p>
    <w:p>
      <w:pPr>
        <w:ind w:firstLine="1391"/>
        <w:spacing w:before="135" w:line="187" w:lineRule="auto"/>
        <w:rPr>
          <w:rFonts w:ascii="SimSun" w:hAnsi="SimSun" w:eastAsia="SimSun" w:cs="SimSun"/>
          <w:sz w:val="17"/>
          <w:szCs w:val="17"/>
        </w:rPr>
      </w:pPr>
      <w:r>
        <w:rPr>
          <w:rFonts w:ascii="SimSun" w:hAnsi="SimSun" w:eastAsia="SimSun" w:cs="SimSun"/>
          <w:sz w:val="17"/>
          <w:szCs w:val="17"/>
          <w:color w:val="333333"/>
          <w:spacing w:val="11"/>
        </w:rPr>
        <w:t>二、</w:t>
      </w:r>
      <w:r>
        <w:rPr>
          <w:rFonts w:ascii="SimSun" w:hAnsi="SimSun" w:eastAsia="SimSun" w:cs="SimSun"/>
          <w:sz w:val="17"/>
          <w:szCs w:val="17"/>
          <w:color w:val="333333"/>
          <w:spacing w:val="-50"/>
        </w:rPr>
        <w:t> </w:t>
      </w:r>
      <w:r>
        <w:rPr>
          <w:rFonts w:ascii="SimSun" w:hAnsi="SimSun" w:eastAsia="SimSun" w:cs="SimSun"/>
          <w:sz w:val="17"/>
          <w:szCs w:val="17"/>
          <w:color w:val="333333"/>
          <w:spacing w:val="11"/>
        </w:rPr>
        <w:t>“十四五”时期政府及非营利组织会计改革面临的形势和挑战</w:t>
      </w:r>
    </w:p>
    <w:p>
      <w:pPr>
        <w:ind w:left="1045" w:right="1016" w:firstLine="343"/>
        <w:spacing w:before="237" w:line="327" w:lineRule="auto"/>
        <w:rPr>
          <w:rFonts w:ascii="SimSun" w:hAnsi="SimSun" w:eastAsia="SimSun" w:cs="SimSun"/>
          <w:sz w:val="17"/>
          <w:szCs w:val="17"/>
        </w:rPr>
      </w:pPr>
      <w:r>
        <w:rPr>
          <w:rFonts w:ascii="SimSun" w:hAnsi="SimSun" w:eastAsia="SimSun" w:cs="SimSun"/>
          <w:sz w:val="17"/>
          <w:szCs w:val="17"/>
          <w:color w:val="333333"/>
          <w:spacing w:val="2"/>
        </w:rPr>
        <w:t>政府及非营利组织会计是我国会计体系的重要组成部分，建立健全并有效实施政府及非营利组织会计准则制度是我国会计标准</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2"/>
        </w:rPr>
        <w:t>建设与实施的重要内容。</w:t>
      </w:r>
      <w:r>
        <w:rPr>
          <w:rFonts w:ascii="SimSun" w:hAnsi="SimSun" w:eastAsia="SimSun" w:cs="SimSun"/>
          <w:sz w:val="17"/>
          <w:szCs w:val="17"/>
          <w:color w:val="333333"/>
          <w:spacing w:val="-52"/>
        </w:rPr>
        <w:t> </w:t>
      </w:r>
      <w:r>
        <w:rPr>
          <w:rFonts w:ascii="SimSun" w:hAnsi="SimSun" w:eastAsia="SimSun" w:cs="SimSun"/>
          <w:sz w:val="17"/>
          <w:szCs w:val="17"/>
          <w:color w:val="333333"/>
          <w:spacing w:val="2"/>
        </w:rPr>
        <w:t>“十三五”时期，政府及非营利组织会计改革取得积极进展，但随着国家财税体制改革的不断深入和经济</w:t>
      </w:r>
      <w:r>
        <w:rPr>
          <w:rFonts w:ascii="SimSun" w:hAnsi="SimSun" w:eastAsia="SimSun" w:cs="SimSun"/>
          <w:sz w:val="17"/>
          <w:szCs w:val="17"/>
          <w:color w:val="333333"/>
        </w:rPr>
        <w:t> </w:t>
      </w:r>
      <w:r>
        <w:rPr>
          <w:rFonts w:ascii="SimSun" w:hAnsi="SimSun" w:eastAsia="SimSun" w:cs="SimSun"/>
          <w:sz w:val="17"/>
          <w:szCs w:val="17"/>
          <w:color w:val="333333"/>
          <w:spacing w:val="1"/>
        </w:rPr>
        <w:t>社会的不断发展，政府及非营利组织会计改革面临更多机遇和挑战。</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spacing w:val="1"/>
        </w:rPr>
        <w:t>（一）财税体制改革不断深化，政府会计准则制度体系建设与实施有待进一步加强。</w:t>
      </w:r>
    </w:p>
    <w:p>
      <w:pPr>
        <w:ind w:left="1044" w:right="1016" w:firstLine="361"/>
        <w:spacing w:before="237" w:line="327" w:lineRule="auto"/>
        <w:rPr>
          <w:rFonts w:ascii="SimSun" w:hAnsi="SimSun" w:eastAsia="SimSun" w:cs="SimSun"/>
          <w:sz w:val="17"/>
          <w:szCs w:val="17"/>
        </w:rPr>
      </w:pPr>
      <w:r>
        <w:rPr>
          <w:rFonts w:ascii="SimSun" w:hAnsi="SimSun" w:eastAsia="SimSun" w:cs="SimSun"/>
          <w:sz w:val="17"/>
          <w:szCs w:val="17"/>
          <w:color w:val="333333"/>
          <w:spacing w:val="8"/>
        </w:rPr>
        <w:t>一是预算管理制度改革要求政府会计改革持续向深推进。2021年初，国务院印发《关于进一步深化预算管理制度改革的意</w:t>
      </w:r>
      <w:r>
        <w:rPr>
          <w:rFonts w:ascii="SimSun" w:hAnsi="SimSun" w:eastAsia="SimSun" w:cs="SimSun"/>
          <w:sz w:val="17"/>
          <w:szCs w:val="17"/>
          <w:color w:val="333333"/>
          <w:spacing w:val="27"/>
        </w:rPr>
        <w:t> </w:t>
      </w:r>
      <w:r>
        <w:rPr>
          <w:rFonts w:ascii="SimSun" w:hAnsi="SimSun" w:eastAsia="SimSun" w:cs="SimSun"/>
          <w:sz w:val="17"/>
          <w:szCs w:val="17"/>
          <w:color w:val="333333"/>
        </w:rPr>
        <w:t>见》</w:t>
      </w:r>
      <w:r>
        <w:rPr>
          <w:rFonts w:ascii="SimSun" w:hAnsi="SimSun" w:eastAsia="SimSun" w:cs="SimSun"/>
          <w:sz w:val="17"/>
          <w:szCs w:val="17"/>
          <w:color w:val="333333"/>
          <w:spacing w:val="63"/>
        </w:rPr>
        <w:t> </w:t>
      </w:r>
      <w:r>
        <w:rPr>
          <w:rFonts w:ascii="SimSun" w:hAnsi="SimSun" w:eastAsia="SimSun" w:cs="SimSun"/>
          <w:sz w:val="17"/>
          <w:szCs w:val="17"/>
          <w:color w:val="333333"/>
        </w:rPr>
        <w:t>，就进一步深化预算管理制度改革，更好发挥财政在国家治理中的基础和重要支柱作用提出要求。意见指出，要“推动预算单</w:t>
      </w:r>
      <w:r>
        <w:rPr>
          <w:rFonts w:ascii="SimSun" w:hAnsi="SimSun" w:eastAsia="SimSun" w:cs="SimSun"/>
          <w:sz w:val="17"/>
          <w:szCs w:val="17"/>
          <w:color w:val="333333"/>
        </w:rPr>
        <w:t> </w:t>
      </w:r>
      <w:r>
        <w:rPr>
          <w:rFonts w:ascii="SimSun" w:hAnsi="SimSun" w:eastAsia="SimSun" w:cs="SimSun"/>
          <w:sz w:val="17"/>
          <w:szCs w:val="17"/>
          <w:color w:val="333333"/>
          <w:spacing w:val="2"/>
        </w:rPr>
        <w:t>位深化政府会计改革，全面有效实施政府会计标准体系，完善权责发生制会计核算基础”</w:t>
      </w:r>
      <w:r>
        <w:rPr>
          <w:rFonts w:ascii="SimSun" w:hAnsi="SimSun" w:eastAsia="SimSun" w:cs="SimSun"/>
          <w:sz w:val="17"/>
          <w:szCs w:val="17"/>
          <w:color w:val="333333"/>
          <w:spacing w:val="-51"/>
        </w:rPr>
        <w:t> </w:t>
      </w:r>
      <w:r>
        <w:rPr>
          <w:rFonts w:ascii="SimSun" w:hAnsi="SimSun" w:eastAsia="SimSun" w:cs="SimSun"/>
          <w:sz w:val="17"/>
          <w:szCs w:val="17"/>
          <w:color w:val="333333"/>
          <w:spacing w:val="2"/>
        </w:rPr>
        <w:t>，这就需要进一步完善政府会计准则制度</w:t>
      </w:r>
      <w:r>
        <w:rPr>
          <w:rFonts w:ascii="SimSun" w:hAnsi="SimSun" w:eastAsia="SimSun" w:cs="SimSun"/>
          <w:sz w:val="17"/>
          <w:szCs w:val="17"/>
          <w:color w:val="333333"/>
        </w:rPr>
        <w:t> </w:t>
      </w:r>
      <w:r>
        <w:rPr>
          <w:rFonts w:ascii="SimSun" w:hAnsi="SimSun" w:eastAsia="SimSun" w:cs="SimSun"/>
          <w:sz w:val="17"/>
          <w:szCs w:val="17"/>
          <w:color w:val="333333"/>
          <w:spacing w:val="2"/>
        </w:rPr>
        <w:t>体系，扎实推进政府会计准则制度全面有效实施，更好地为深化预算管理制度改革、推进权责发生制政府综合财务报告制度等工作</w:t>
      </w:r>
      <w:r>
        <w:rPr>
          <w:rFonts w:ascii="SimSun" w:hAnsi="SimSun" w:eastAsia="SimSun" w:cs="SimSun"/>
          <w:sz w:val="17"/>
          <w:szCs w:val="17"/>
          <w:color w:val="333333"/>
          <w:spacing w:val="34"/>
        </w:rPr>
        <w:t> </w:t>
      </w:r>
      <w:r>
        <w:rPr>
          <w:rFonts w:ascii="SimSun" w:hAnsi="SimSun" w:eastAsia="SimSun" w:cs="SimSun"/>
          <w:sz w:val="17"/>
          <w:szCs w:val="17"/>
          <w:color w:val="333333"/>
          <w:spacing w:val="-4"/>
        </w:rPr>
        <w:t>奠定基础。</w:t>
      </w:r>
    </w:p>
    <w:p>
      <w:pPr>
        <w:ind w:left="1044"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二是深化国有资产管理对加强政府资产核算提出更高要求。近年来，随着国有资产报告工作的深入开展和《行政事业性国有资</w:t>
      </w:r>
      <w:r>
        <w:rPr>
          <w:rFonts w:ascii="SimSun" w:hAnsi="SimSun" w:eastAsia="SimSun" w:cs="SimSun"/>
          <w:sz w:val="17"/>
          <w:szCs w:val="17"/>
          <w:color w:val="333333"/>
          <w:spacing w:val="30"/>
        </w:rPr>
        <w:t> </w:t>
      </w:r>
      <w:r>
        <w:rPr>
          <w:rFonts w:ascii="SimSun" w:hAnsi="SimSun" w:eastAsia="SimSun" w:cs="SimSun"/>
          <w:sz w:val="17"/>
          <w:szCs w:val="17"/>
          <w:color w:val="333333"/>
        </w:rPr>
        <w:t>产管理条例》</w:t>
      </w:r>
      <w:r>
        <w:rPr>
          <w:rFonts w:ascii="SimSun" w:hAnsi="SimSun" w:eastAsia="SimSun" w:cs="SimSun"/>
          <w:sz w:val="17"/>
          <w:szCs w:val="17"/>
          <w:color w:val="333333"/>
          <w:spacing w:val="63"/>
        </w:rPr>
        <w:t> </w:t>
      </w:r>
      <w:r>
        <w:rPr>
          <w:rFonts w:ascii="SimSun" w:hAnsi="SimSun" w:eastAsia="SimSun" w:cs="SimSun"/>
          <w:sz w:val="17"/>
          <w:szCs w:val="17"/>
          <w:color w:val="333333"/>
        </w:rPr>
        <w:t>等法规制度的出台，对于准确核算和完整反映政府资产“家底”信息提出更高要求。这就需要进一步推进交通、水利</w:t>
      </w:r>
      <w:r>
        <w:rPr>
          <w:rFonts w:ascii="SimSun" w:hAnsi="SimSun" w:eastAsia="SimSun" w:cs="SimSun"/>
          <w:sz w:val="17"/>
          <w:szCs w:val="17"/>
          <w:color w:val="333333"/>
        </w:rPr>
        <w:t> </w:t>
      </w:r>
      <w:r>
        <w:rPr>
          <w:rFonts w:ascii="SimSun" w:hAnsi="SimSun" w:eastAsia="SimSun" w:cs="SimSun"/>
          <w:sz w:val="17"/>
          <w:szCs w:val="17"/>
          <w:color w:val="333333"/>
        </w:rPr>
        <w:t>和市政等公共基础设施的会计核算，确保增量和存量公共基础设施资产“应计尽计”；</w:t>
      </w:r>
      <w:r>
        <w:rPr>
          <w:rFonts w:ascii="SimSun" w:hAnsi="SimSun" w:eastAsia="SimSun" w:cs="SimSun"/>
          <w:sz w:val="17"/>
          <w:szCs w:val="17"/>
          <w:color w:val="333333"/>
          <w:spacing w:val="63"/>
        </w:rPr>
        <w:t> </w:t>
      </w:r>
      <w:r>
        <w:rPr>
          <w:rFonts w:ascii="SimSun" w:hAnsi="SimSun" w:eastAsia="SimSun" w:cs="SimSun"/>
          <w:sz w:val="17"/>
          <w:szCs w:val="17"/>
          <w:color w:val="333333"/>
        </w:rPr>
        <w:t>深入研究自然资源资产、文物文化资产等传</w:t>
      </w:r>
      <w:r>
        <w:rPr>
          <w:rFonts w:ascii="SimSun" w:hAnsi="SimSun" w:eastAsia="SimSun" w:cs="SimSun"/>
          <w:sz w:val="17"/>
          <w:szCs w:val="17"/>
          <w:color w:val="333333"/>
        </w:rPr>
        <w:t> </w:t>
      </w:r>
      <w:r>
        <w:rPr>
          <w:rFonts w:ascii="SimSun" w:hAnsi="SimSun" w:eastAsia="SimSun" w:cs="SimSun"/>
          <w:sz w:val="17"/>
          <w:szCs w:val="17"/>
          <w:color w:val="333333"/>
          <w:spacing w:val="2"/>
        </w:rPr>
        <w:t>统上仅按照实物量进行统计的资产的计量计价问题，适时出台相关会计准则规范其会计处理，为进一步加强行政事业性国有资产管</w:t>
      </w:r>
      <w:r>
        <w:rPr>
          <w:rFonts w:ascii="SimSun" w:hAnsi="SimSun" w:eastAsia="SimSun" w:cs="SimSun"/>
          <w:sz w:val="17"/>
          <w:szCs w:val="17"/>
          <w:color w:val="333333"/>
          <w:spacing w:val="34"/>
        </w:rPr>
        <w:t> </w:t>
      </w:r>
      <w:r>
        <w:rPr>
          <w:rFonts w:ascii="SimSun" w:hAnsi="SimSun" w:eastAsia="SimSun" w:cs="SimSun"/>
          <w:sz w:val="17"/>
          <w:szCs w:val="17"/>
          <w:color w:val="333333"/>
        </w:rPr>
        <w:t>理提供支撑，不断夯实政府财务报告和国有资产报告编制基础。</w:t>
      </w:r>
    </w:p>
    <w:p>
      <w:pPr>
        <w:ind w:left="1043" w:right="1016" w:firstLine="352"/>
        <w:spacing w:before="108" w:line="327" w:lineRule="auto"/>
        <w:rPr>
          <w:rFonts w:ascii="SimSun" w:hAnsi="SimSun" w:eastAsia="SimSun" w:cs="SimSun"/>
          <w:sz w:val="17"/>
          <w:szCs w:val="17"/>
        </w:rPr>
      </w:pPr>
      <w:r>
        <w:rPr>
          <w:rFonts w:ascii="SimSun" w:hAnsi="SimSun" w:eastAsia="SimSun" w:cs="SimSun"/>
          <w:sz w:val="17"/>
          <w:szCs w:val="17"/>
          <w:color w:val="333333"/>
          <w:spacing w:val="5"/>
        </w:rPr>
        <w:t>三是全面实施预算绩效管理对政府成本核算提出新要求。2018年中共中央、国务院发布了《关于全面实施预算绩效管理的意</w:t>
      </w:r>
      <w:r>
        <w:rPr>
          <w:rFonts w:ascii="SimSun" w:hAnsi="SimSun" w:eastAsia="SimSun" w:cs="SimSun"/>
          <w:sz w:val="17"/>
          <w:szCs w:val="17"/>
          <w:color w:val="333333"/>
          <w:spacing w:val="26"/>
        </w:rPr>
        <w:t> </w:t>
      </w:r>
      <w:r>
        <w:rPr>
          <w:rFonts w:ascii="SimSun" w:hAnsi="SimSun" w:eastAsia="SimSun" w:cs="SimSun"/>
          <w:sz w:val="17"/>
          <w:szCs w:val="17"/>
          <w:color w:val="333333"/>
          <w:spacing w:val="2"/>
        </w:rPr>
        <w:t>见》</w:t>
      </w:r>
      <w:r>
        <w:rPr>
          <w:rFonts w:ascii="SimSun" w:hAnsi="SimSun" w:eastAsia="SimSun" w:cs="SimSun"/>
          <w:sz w:val="17"/>
          <w:szCs w:val="17"/>
          <w:color w:val="333333"/>
          <w:spacing w:val="33"/>
        </w:rPr>
        <w:t> </w:t>
      </w:r>
      <w:r>
        <w:rPr>
          <w:rFonts w:ascii="SimSun" w:hAnsi="SimSun" w:eastAsia="SimSun" w:cs="SimSun"/>
          <w:sz w:val="17"/>
          <w:szCs w:val="17"/>
          <w:color w:val="333333"/>
          <w:spacing w:val="2"/>
        </w:rPr>
        <w:t>，提出力争用3-5年时间基本建成全方位、全过程、全覆盖的预算绩效管理体系。随着全面预算绩效管理的建立和实施，政府</w:t>
      </w:r>
      <w:r>
        <w:rPr>
          <w:rFonts w:ascii="SimSun" w:hAnsi="SimSun" w:eastAsia="SimSun" w:cs="SimSun"/>
          <w:sz w:val="17"/>
          <w:szCs w:val="17"/>
          <w:color w:val="333333"/>
        </w:rPr>
        <w:t> </w:t>
      </w:r>
      <w:r>
        <w:rPr>
          <w:rFonts w:ascii="SimSun" w:hAnsi="SimSun" w:eastAsia="SimSun" w:cs="SimSun"/>
          <w:sz w:val="17"/>
          <w:szCs w:val="17"/>
          <w:color w:val="333333"/>
          <w:spacing w:val="1"/>
        </w:rPr>
        <w:t>成本核算问题亟待研究解决。</w:t>
      </w:r>
      <w:r>
        <w:rPr>
          <w:rFonts w:ascii="SimSun" w:hAnsi="SimSun" w:eastAsia="SimSun" w:cs="SimSun"/>
          <w:sz w:val="17"/>
          <w:szCs w:val="17"/>
          <w:color w:val="333333"/>
          <w:spacing w:val="7"/>
        </w:rPr>
        <w:t> </w:t>
      </w:r>
      <w:r>
        <w:rPr>
          <w:rFonts w:ascii="SimSun" w:hAnsi="SimSun" w:eastAsia="SimSun" w:cs="SimSun"/>
          <w:sz w:val="17"/>
          <w:szCs w:val="17"/>
          <w:color w:val="333333"/>
          <w:spacing w:val="1"/>
        </w:rPr>
        <w:t>目前，我国尚未建立一套完整的政府成本核算指引体系，需要以事业单位成本核算指引体系建设为基</w:t>
      </w:r>
      <w:r>
        <w:rPr>
          <w:rFonts w:ascii="SimSun" w:hAnsi="SimSun" w:eastAsia="SimSun" w:cs="SimSun"/>
          <w:sz w:val="17"/>
          <w:szCs w:val="17"/>
          <w:color w:val="333333"/>
        </w:rPr>
        <w:t> </w:t>
      </w:r>
      <w:r>
        <w:rPr>
          <w:rFonts w:ascii="SimSun" w:hAnsi="SimSun" w:eastAsia="SimSun" w:cs="SimSun"/>
          <w:sz w:val="17"/>
          <w:szCs w:val="17"/>
          <w:color w:val="333333"/>
        </w:rPr>
        <w:t>础，积极研究推进政府行政成本核算。</w:t>
      </w:r>
    </w:p>
    <w:p>
      <w:pPr>
        <w:ind w:left="1044" w:right="1016" w:firstLine="360"/>
        <w:spacing w:before="108" w:line="327" w:lineRule="auto"/>
        <w:rPr>
          <w:rFonts w:ascii="SimSun" w:hAnsi="SimSun" w:eastAsia="SimSun" w:cs="SimSun"/>
          <w:sz w:val="17"/>
          <w:szCs w:val="17"/>
        </w:rPr>
      </w:pPr>
      <w:r>
        <w:rPr>
          <w:rFonts w:ascii="SimSun" w:hAnsi="SimSun" w:eastAsia="SimSun" w:cs="SimSun"/>
          <w:sz w:val="17"/>
          <w:szCs w:val="17"/>
          <w:color w:val="333333"/>
          <w:spacing w:val="2"/>
        </w:rPr>
        <w:t>四是财会监督对政府会计准则制度的建设与实施提出新要求。会计准则制度是财会监督的重要依据和准绳，更是党和国家财经</w:t>
      </w:r>
      <w:r>
        <w:rPr>
          <w:rFonts w:ascii="SimSun" w:hAnsi="SimSun" w:eastAsia="SimSun" w:cs="SimSun"/>
          <w:sz w:val="17"/>
          <w:szCs w:val="17"/>
          <w:color w:val="333333"/>
          <w:spacing w:val="17"/>
        </w:rPr>
        <w:t> </w:t>
      </w:r>
      <w:r>
        <w:rPr>
          <w:rFonts w:ascii="SimSun" w:hAnsi="SimSun" w:eastAsia="SimSun" w:cs="SimSun"/>
          <w:sz w:val="17"/>
          <w:szCs w:val="17"/>
          <w:color w:val="333333"/>
          <w:spacing w:val="2"/>
        </w:rPr>
        <w:t>纪律在会计领域的具体体现。健全完善政府会计准则制度并推动其全面有效实施，有利于贯彻落实财会监督的相关要求，准确反映</w:t>
      </w:r>
      <w:r>
        <w:rPr>
          <w:rFonts w:ascii="SimSun" w:hAnsi="SimSun" w:eastAsia="SimSun" w:cs="SimSun"/>
          <w:sz w:val="17"/>
          <w:szCs w:val="17"/>
          <w:color w:val="333333"/>
          <w:spacing w:val="33"/>
          <w:w w:val="101"/>
        </w:rPr>
        <w:t> </w:t>
      </w:r>
      <w:r>
        <w:rPr>
          <w:rFonts w:ascii="SimSun" w:hAnsi="SimSun" w:eastAsia="SimSun" w:cs="SimSun"/>
          <w:sz w:val="17"/>
          <w:szCs w:val="17"/>
          <w:color w:val="333333"/>
          <w:spacing w:val="1"/>
        </w:rPr>
        <w:t>财税政策落实情况及政府财务状况，为更好发挥财会监督效能提供制度保障。</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spacing w:val="1"/>
        </w:rPr>
        <w:t>（二）社会组织改革与发展深入推进，对非营利组织会计改革提出迫切要求。</w:t>
      </w:r>
    </w:p>
    <w:p>
      <w:pPr>
        <w:ind w:firstLine="1392"/>
        <w:spacing w:before="237" w:line="187" w:lineRule="auto"/>
        <w:rPr>
          <w:rFonts w:ascii="SimSun" w:hAnsi="SimSun" w:eastAsia="SimSun" w:cs="SimSun"/>
          <w:sz w:val="17"/>
          <w:szCs w:val="17"/>
        </w:rPr>
      </w:pPr>
      <w:r>
        <w:rPr>
          <w:rFonts w:ascii="SimSun" w:hAnsi="SimSun" w:eastAsia="SimSun" w:cs="SimSun"/>
          <w:sz w:val="17"/>
          <w:szCs w:val="17"/>
          <w:color w:val="333333"/>
          <w:spacing w:val="-4"/>
        </w:rPr>
        <w:t>一是《民间非营利组织会计制度》</w:t>
      </w:r>
      <w:r>
        <w:rPr>
          <w:rFonts w:ascii="SimSun" w:hAnsi="SimSun" w:eastAsia="SimSun" w:cs="SimSun"/>
          <w:sz w:val="17"/>
          <w:szCs w:val="17"/>
          <w:color w:val="333333"/>
          <w:spacing w:val="29"/>
        </w:rPr>
        <w:t> </w:t>
      </w:r>
      <w:r>
        <w:rPr>
          <w:rFonts w:ascii="SimSun" w:hAnsi="SimSun" w:eastAsia="SimSun" w:cs="SimSun"/>
          <w:sz w:val="17"/>
          <w:szCs w:val="17"/>
          <w:color w:val="333333"/>
          <w:spacing w:val="-4"/>
        </w:rPr>
        <w:t>亟待修订。</w:t>
      </w:r>
      <w:r>
        <w:rPr>
          <w:rFonts w:ascii="SimSun" w:hAnsi="SimSun" w:eastAsia="SimSun" w:cs="SimSun"/>
          <w:sz w:val="17"/>
          <w:szCs w:val="17"/>
          <w:color w:val="333333"/>
          <w:spacing w:val="-82"/>
        </w:rPr>
        <w:t> </w:t>
      </w:r>
      <w:r>
        <w:rPr>
          <w:rFonts w:ascii="SimSun" w:hAnsi="SimSun" w:eastAsia="SimSun" w:cs="SimSun"/>
          <w:sz w:val="17"/>
          <w:szCs w:val="17"/>
          <w:color w:val="333333"/>
          <w:spacing w:val="-4"/>
        </w:rPr>
        <w:t>《民间非营利组织会计制度》</w:t>
      </w:r>
      <w:r>
        <w:rPr>
          <w:rFonts w:ascii="SimSun" w:hAnsi="SimSun" w:eastAsia="SimSun" w:cs="SimSun"/>
          <w:sz w:val="17"/>
          <w:szCs w:val="17"/>
          <w:color w:val="333333"/>
          <w:spacing w:val="-6"/>
        </w:rPr>
        <w:t> </w:t>
      </w:r>
      <w:r>
        <w:rPr>
          <w:rFonts w:ascii="SimSun" w:hAnsi="SimSun" w:eastAsia="SimSun" w:cs="SimSun"/>
          <w:sz w:val="17"/>
          <w:szCs w:val="17"/>
          <w:color w:val="333333"/>
          <w:spacing w:val="-4"/>
        </w:rPr>
        <w:t>（以下简称《民非制度》</w:t>
      </w:r>
      <w:r>
        <w:rPr>
          <w:rFonts w:ascii="SimSun" w:hAnsi="SimSun" w:eastAsia="SimSun" w:cs="SimSun"/>
          <w:sz w:val="17"/>
          <w:szCs w:val="17"/>
          <w:color w:val="333333"/>
          <w:spacing w:val="17"/>
          <w:w w:val="101"/>
        </w:rPr>
        <w:t> </w:t>
      </w:r>
      <w:r>
        <w:rPr>
          <w:rFonts w:ascii="SimSun" w:hAnsi="SimSun" w:eastAsia="SimSun" w:cs="SimSun"/>
          <w:sz w:val="17"/>
          <w:szCs w:val="17"/>
          <w:color w:val="333333"/>
          <w:spacing w:val="-4"/>
        </w:rPr>
        <w:t>）</w:t>
      </w:r>
      <w:r>
        <w:rPr>
          <w:rFonts w:ascii="SimSun" w:hAnsi="SimSun" w:eastAsia="SimSun" w:cs="SimSun"/>
          <w:sz w:val="17"/>
          <w:szCs w:val="17"/>
          <w:color w:val="333333"/>
          <w:spacing w:val="-49"/>
        </w:rPr>
        <w:t> </w:t>
      </w:r>
      <w:r>
        <w:rPr>
          <w:rFonts w:ascii="SimSun" w:hAnsi="SimSun" w:eastAsia="SimSun" w:cs="SimSun"/>
          <w:sz w:val="17"/>
          <w:szCs w:val="17"/>
          <w:color w:val="333333"/>
          <w:spacing w:val="-4"/>
        </w:rPr>
        <w:t>自2005年1月1</w:t>
      </w:r>
      <w:r>
        <w:rPr>
          <w:rFonts w:ascii="SimSun" w:hAnsi="SimSun" w:eastAsia="SimSun" w:cs="SimSun"/>
          <w:sz w:val="17"/>
          <w:szCs w:val="17"/>
          <w:color w:val="333333"/>
          <w:spacing w:val="-48"/>
        </w:rPr>
        <w:t> </w:t>
      </w:r>
      <w:r>
        <w:rPr>
          <w:rFonts w:ascii="SimSun" w:hAnsi="SimSun" w:eastAsia="SimSun" w:cs="SimSun"/>
          <w:sz w:val="17"/>
          <w:szCs w:val="17"/>
          <w:color w:val="333333"/>
          <w:spacing w:val="-4"/>
        </w:rPr>
        <w:t>日实施以</w:t>
      </w:r>
    </w:p>
    <w:p>
      <w:pPr>
        <w:ind w:left="1043" w:right="1016" w:firstLine="1"/>
        <w:spacing w:before="130" w:line="327" w:lineRule="auto"/>
        <w:rPr>
          <w:rFonts w:ascii="SimSun" w:hAnsi="SimSun" w:eastAsia="SimSun" w:cs="SimSun"/>
          <w:sz w:val="17"/>
          <w:szCs w:val="17"/>
        </w:rPr>
      </w:pPr>
      <w:r>
        <w:rPr>
          <w:rFonts w:ascii="SimSun" w:hAnsi="SimSun" w:eastAsia="SimSun" w:cs="SimSun"/>
          <w:sz w:val="17"/>
          <w:szCs w:val="17"/>
          <w:color w:val="333333"/>
        </w:rPr>
        <w:t>来，对规范民非组织会计行为、提高民非组织会计信息质量发挥了积极的作用。但是，</w:t>
      </w:r>
      <w:r>
        <w:rPr>
          <w:rFonts w:ascii="SimSun" w:hAnsi="SimSun" w:eastAsia="SimSun" w:cs="SimSun"/>
          <w:sz w:val="17"/>
          <w:szCs w:val="17"/>
          <w:color w:val="333333"/>
          <w:spacing w:val="-26"/>
        </w:rPr>
        <w:t> </w:t>
      </w:r>
      <w:r>
        <w:rPr>
          <w:rFonts w:ascii="SimSun" w:hAnsi="SimSun" w:eastAsia="SimSun" w:cs="SimSun"/>
          <w:sz w:val="17"/>
          <w:szCs w:val="17"/>
          <w:color w:val="333333"/>
        </w:rPr>
        <w:t>《民非制度》</w:t>
      </w:r>
      <w:r>
        <w:rPr>
          <w:rFonts w:ascii="SimSun" w:hAnsi="SimSun" w:eastAsia="SimSun" w:cs="SimSun"/>
          <w:sz w:val="17"/>
          <w:szCs w:val="17"/>
          <w:color w:val="333333"/>
          <w:spacing w:val="3"/>
          <w:w w:val="101"/>
        </w:rPr>
        <w:t> </w:t>
      </w:r>
      <w:r>
        <w:rPr>
          <w:rFonts w:ascii="SimSun" w:hAnsi="SimSun" w:eastAsia="SimSun" w:cs="SimSun"/>
          <w:sz w:val="17"/>
          <w:szCs w:val="17"/>
          <w:color w:val="333333"/>
        </w:rPr>
        <w:t>实施前我国社会组织数量不足</w:t>
      </w:r>
      <w:r>
        <w:rPr>
          <w:rFonts w:ascii="SimSun" w:hAnsi="SimSun" w:eastAsia="SimSun" w:cs="SimSun"/>
          <w:sz w:val="17"/>
          <w:szCs w:val="17"/>
          <w:color w:val="333333"/>
        </w:rPr>
        <w:t> </w:t>
      </w:r>
      <w:r>
        <w:rPr>
          <w:rFonts w:ascii="SimSun" w:hAnsi="SimSun" w:eastAsia="SimSun" w:cs="SimSun"/>
          <w:sz w:val="17"/>
          <w:szCs w:val="17"/>
          <w:color w:val="333333"/>
          <w:spacing w:val="2"/>
        </w:rPr>
        <w:t>29万家，截至2020年底其注册数量已达89.4万家。在数量增加的同时，非营利组织的体量也在不断增长，业务模式也越来越灵活多</w:t>
      </w:r>
      <w:r>
        <w:rPr>
          <w:rFonts w:ascii="SimSun" w:hAnsi="SimSun" w:eastAsia="SimSun" w:cs="SimSun"/>
          <w:sz w:val="17"/>
          <w:szCs w:val="17"/>
          <w:color w:val="333333"/>
          <w:spacing w:val="25"/>
        </w:rPr>
        <w:t> </w:t>
      </w:r>
      <w:r>
        <w:rPr>
          <w:rFonts w:ascii="SimSun" w:hAnsi="SimSun" w:eastAsia="SimSun" w:cs="SimSun"/>
          <w:sz w:val="17"/>
          <w:szCs w:val="17"/>
          <w:color w:val="333333"/>
          <w:spacing w:val="3"/>
        </w:rPr>
        <w:t>样，随着非营利组织自身不断发展壮大，对加强和完善会计核算提出更高要求。此外，随着近年来《中华人民共和国民法典》</w:t>
      </w:r>
      <w:r>
        <w:rPr>
          <w:rFonts w:ascii="SimSun" w:hAnsi="SimSun" w:eastAsia="SimSun" w:cs="SimSun"/>
          <w:sz w:val="17"/>
          <w:szCs w:val="17"/>
          <w:color w:val="333333"/>
          <w:spacing w:val="66"/>
        </w:rPr>
        <w:t> </w:t>
      </w:r>
      <w:r>
        <w:rPr>
          <w:rFonts w:ascii="SimSun" w:hAnsi="SimSun" w:eastAsia="SimSun" w:cs="SimSun"/>
          <w:sz w:val="17"/>
          <w:szCs w:val="17"/>
          <w:color w:val="333333"/>
          <w:spacing w:val="3"/>
        </w:rPr>
        <w:t>、</w:t>
      </w:r>
      <w:r>
        <w:rPr>
          <w:rFonts w:ascii="SimSun" w:hAnsi="SimSun" w:eastAsia="SimSun" w:cs="SimSun"/>
          <w:sz w:val="17"/>
          <w:szCs w:val="17"/>
          <w:color w:val="333333"/>
        </w:rPr>
        <w:t> </w:t>
      </w:r>
      <w:r>
        <w:rPr>
          <w:rFonts w:ascii="SimSun" w:hAnsi="SimSun" w:eastAsia="SimSun" w:cs="SimSun"/>
          <w:sz w:val="17"/>
          <w:szCs w:val="17"/>
          <w:color w:val="333333"/>
          <w:spacing w:val="-4"/>
        </w:rPr>
        <w:t>《中华人民共和国慈善法》</w:t>
      </w:r>
      <w:r>
        <w:rPr>
          <w:rFonts w:ascii="SimSun" w:hAnsi="SimSun" w:eastAsia="SimSun" w:cs="SimSun"/>
          <w:sz w:val="17"/>
          <w:szCs w:val="17"/>
          <w:color w:val="333333"/>
          <w:spacing w:val="19"/>
        </w:rPr>
        <w:t> </w:t>
      </w:r>
      <w:r>
        <w:rPr>
          <w:rFonts w:ascii="SimSun" w:hAnsi="SimSun" w:eastAsia="SimSun" w:cs="SimSun"/>
          <w:sz w:val="17"/>
          <w:szCs w:val="17"/>
          <w:color w:val="333333"/>
          <w:spacing w:val="-4"/>
        </w:rPr>
        <w:t>、</w:t>
      </w:r>
      <w:r>
        <w:rPr>
          <w:rFonts w:ascii="SimSun" w:hAnsi="SimSun" w:eastAsia="SimSun" w:cs="SimSun"/>
          <w:sz w:val="17"/>
          <w:szCs w:val="17"/>
          <w:color w:val="333333"/>
          <w:spacing w:val="-82"/>
        </w:rPr>
        <w:t> </w:t>
      </w:r>
      <w:r>
        <w:rPr>
          <w:rFonts w:ascii="SimSun" w:hAnsi="SimSun" w:eastAsia="SimSun" w:cs="SimSun"/>
          <w:sz w:val="17"/>
          <w:szCs w:val="17"/>
          <w:color w:val="333333"/>
          <w:spacing w:val="-4"/>
        </w:rPr>
        <w:t>《中华人民共和国民办教育促进法》</w:t>
      </w:r>
      <w:r>
        <w:rPr>
          <w:rFonts w:ascii="SimSun" w:hAnsi="SimSun" w:eastAsia="SimSun" w:cs="SimSun"/>
          <w:sz w:val="17"/>
          <w:szCs w:val="17"/>
          <w:color w:val="333333"/>
          <w:spacing w:val="11"/>
        </w:rPr>
        <w:t> </w:t>
      </w:r>
      <w:r>
        <w:rPr>
          <w:rFonts w:ascii="SimSun" w:hAnsi="SimSun" w:eastAsia="SimSun" w:cs="SimSun"/>
          <w:sz w:val="17"/>
          <w:szCs w:val="17"/>
          <w:color w:val="333333"/>
          <w:spacing w:val="-4"/>
        </w:rPr>
        <w:t>、</w:t>
      </w:r>
      <w:r>
        <w:rPr>
          <w:rFonts w:ascii="SimSun" w:hAnsi="SimSun" w:eastAsia="SimSun" w:cs="SimSun"/>
          <w:sz w:val="17"/>
          <w:szCs w:val="17"/>
          <w:color w:val="333333"/>
          <w:spacing w:val="-82"/>
        </w:rPr>
        <w:t> </w:t>
      </w:r>
      <w:r>
        <w:rPr>
          <w:rFonts w:ascii="SimSun" w:hAnsi="SimSun" w:eastAsia="SimSun" w:cs="SimSun"/>
          <w:sz w:val="17"/>
          <w:szCs w:val="17"/>
          <w:color w:val="333333"/>
          <w:spacing w:val="-4"/>
        </w:rPr>
        <w:t>《宗教事务条例》</w:t>
      </w:r>
      <w:r>
        <w:rPr>
          <w:rFonts w:ascii="SimSun" w:hAnsi="SimSun" w:eastAsia="SimSun" w:cs="SimSun"/>
          <w:sz w:val="17"/>
          <w:szCs w:val="17"/>
          <w:color w:val="333333"/>
        </w:rPr>
        <w:t> </w:t>
      </w:r>
      <w:r>
        <w:rPr>
          <w:rFonts w:ascii="SimSun" w:hAnsi="SimSun" w:eastAsia="SimSun" w:cs="SimSun"/>
          <w:sz w:val="17"/>
          <w:szCs w:val="17"/>
          <w:color w:val="333333"/>
          <w:spacing w:val="-4"/>
        </w:rPr>
        <w:t>和《境外非政府组织境内活动管理法》</w:t>
      </w:r>
      <w:r>
        <w:rPr>
          <w:rFonts w:ascii="SimSun" w:hAnsi="SimSun" w:eastAsia="SimSun" w:cs="SimSun"/>
          <w:sz w:val="17"/>
          <w:szCs w:val="17"/>
          <w:color w:val="333333"/>
          <w:spacing w:val="1"/>
        </w:rPr>
        <w:t> </w:t>
      </w:r>
      <w:r>
        <w:rPr>
          <w:rFonts w:ascii="SimSun" w:hAnsi="SimSun" w:eastAsia="SimSun" w:cs="SimSun"/>
          <w:sz w:val="17"/>
          <w:szCs w:val="17"/>
          <w:color w:val="333333"/>
          <w:spacing w:val="-4"/>
        </w:rPr>
        <w:t>等法</w:t>
      </w:r>
      <w:r>
        <w:rPr>
          <w:rFonts w:ascii="SimSun" w:hAnsi="SimSun" w:eastAsia="SimSun" w:cs="SimSun"/>
          <w:sz w:val="17"/>
          <w:szCs w:val="17"/>
          <w:color w:val="333333"/>
        </w:rPr>
        <w:t> </w:t>
      </w:r>
      <w:r>
        <w:rPr>
          <w:rFonts w:ascii="SimSun" w:hAnsi="SimSun" w:eastAsia="SimSun" w:cs="SimSun"/>
          <w:sz w:val="17"/>
          <w:szCs w:val="17"/>
          <w:color w:val="333333"/>
          <w:spacing w:val="1"/>
        </w:rPr>
        <w:t>律法规的出台或修订，非营利组织各行业领域改革工作不断推进，客观上也需要对《民非制度》</w:t>
      </w:r>
      <w:r>
        <w:rPr>
          <w:rFonts w:ascii="SimSun" w:hAnsi="SimSun" w:eastAsia="SimSun" w:cs="SimSun"/>
          <w:sz w:val="17"/>
          <w:szCs w:val="17"/>
          <w:color w:val="333333"/>
          <w:spacing w:val="7"/>
        </w:rPr>
        <w:t> </w:t>
      </w:r>
      <w:r>
        <w:rPr>
          <w:rFonts w:ascii="SimSun" w:hAnsi="SimSun" w:eastAsia="SimSun" w:cs="SimSun"/>
          <w:sz w:val="17"/>
          <w:szCs w:val="17"/>
          <w:color w:val="333333"/>
          <w:spacing w:val="1"/>
        </w:rPr>
        <w:t>做出针对性的调整，以更好地实现</w:t>
      </w:r>
      <w:r>
        <w:rPr>
          <w:rFonts w:ascii="SimSun" w:hAnsi="SimSun" w:eastAsia="SimSun" w:cs="SimSun"/>
          <w:sz w:val="17"/>
          <w:szCs w:val="17"/>
          <w:color w:val="333333"/>
        </w:rPr>
        <w:t> </w:t>
      </w:r>
      <w:r>
        <w:rPr>
          <w:rFonts w:ascii="SimSun" w:hAnsi="SimSun" w:eastAsia="SimSun" w:cs="SimSun"/>
          <w:sz w:val="17"/>
          <w:szCs w:val="17"/>
          <w:color w:val="333333"/>
        </w:rPr>
        <w:t>与相关上位法和各项改革措施的协调。</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二是《工会会计制度》</w:t>
      </w:r>
      <w:r>
        <w:rPr>
          <w:rFonts w:ascii="SimSun" w:hAnsi="SimSun" w:eastAsia="SimSun" w:cs="SimSun"/>
          <w:sz w:val="17"/>
          <w:szCs w:val="17"/>
          <w:color w:val="333333"/>
          <w:spacing w:val="57"/>
        </w:rPr>
        <w:t> </w:t>
      </w:r>
      <w:r>
        <w:rPr>
          <w:rFonts w:ascii="SimSun" w:hAnsi="SimSun" w:eastAsia="SimSun" w:cs="SimSun"/>
          <w:sz w:val="17"/>
          <w:szCs w:val="17"/>
          <w:color w:val="333333"/>
          <w:spacing w:val="-2"/>
        </w:rPr>
        <w:t>亟待修订。原《工会会计制度》</w:t>
      </w:r>
      <w:r>
        <w:rPr>
          <w:rFonts w:ascii="SimSun" w:hAnsi="SimSun" w:eastAsia="SimSun" w:cs="SimSun"/>
          <w:sz w:val="17"/>
          <w:szCs w:val="17"/>
          <w:color w:val="333333"/>
          <w:spacing w:val="27"/>
        </w:rPr>
        <w:t> </w:t>
      </w:r>
      <w:r>
        <w:rPr>
          <w:rFonts w:ascii="SimSun" w:hAnsi="SimSun" w:eastAsia="SimSun" w:cs="SimSun"/>
          <w:sz w:val="17"/>
          <w:szCs w:val="17"/>
          <w:color w:val="333333"/>
          <w:spacing w:val="-2"/>
        </w:rPr>
        <w:t>自2009年印发以来，在加强工会预算管理、规范工会核算工作、提高工</w:t>
      </w:r>
      <w:r>
        <w:rPr>
          <w:rFonts w:ascii="SimSun" w:hAnsi="SimSun" w:eastAsia="SimSun" w:cs="SimSun"/>
          <w:sz w:val="17"/>
          <w:szCs w:val="17"/>
          <w:color w:val="333333"/>
        </w:rPr>
        <w:t> </w:t>
      </w:r>
      <w:r>
        <w:rPr>
          <w:rFonts w:ascii="SimSun" w:hAnsi="SimSun" w:eastAsia="SimSun" w:cs="SimSun"/>
          <w:sz w:val="17"/>
          <w:szCs w:val="17"/>
          <w:color w:val="333333"/>
          <w:spacing w:val="2"/>
        </w:rPr>
        <w:t>会会计信息质量等方面发挥了重要作用。随着我国工会事业的发展，工会财务管理体制发生较大变化，先后修订或制定了多项涉及</w:t>
      </w:r>
      <w:r>
        <w:rPr>
          <w:rFonts w:ascii="SimSun" w:hAnsi="SimSun" w:eastAsia="SimSun" w:cs="SimSun"/>
          <w:sz w:val="17"/>
          <w:szCs w:val="17"/>
          <w:color w:val="333333"/>
          <w:spacing w:val="35"/>
        </w:rPr>
        <w:t> </w:t>
      </w:r>
      <w:r>
        <w:rPr>
          <w:rFonts w:ascii="SimSun" w:hAnsi="SimSun" w:eastAsia="SimSun" w:cs="SimSun"/>
          <w:sz w:val="17"/>
          <w:szCs w:val="17"/>
          <w:color w:val="333333"/>
          <w:spacing w:val="2"/>
        </w:rPr>
        <w:t>工会经费收支管理、工会预决算管理等的制度办法等，原制度已不能满足工会会计核算的新要求。另外，在工会组织方面，不同层</w:t>
      </w:r>
      <w:r>
        <w:rPr>
          <w:rFonts w:ascii="SimSun" w:hAnsi="SimSun" w:eastAsia="SimSun" w:cs="SimSun"/>
          <w:sz w:val="17"/>
          <w:szCs w:val="17"/>
          <w:color w:val="333333"/>
          <w:spacing w:val="35"/>
        </w:rPr>
        <w:t> </w:t>
      </w:r>
      <w:r>
        <w:rPr>
          <w:rFonts w:ascii="SimSun" w:hAnsi="SimSun" w:eastAsia="SimSun" w:cs="SimSun"/>
          <w:sz w:val="17"/>
          <w:szCs w:val="17"/>
          <w:color w:val="333333"/>
          <w:spacing w:val="2"/>
        </w:rPr>
        <w:t>级的工会组织在业务类型和财务管理要求方面存在较大差异，财政部门、上级工会、工会主席、工会会员也存在不同的信息需求，</w:t>
      </w:r>
      <w:r>
        <w:rPr>
          <w:rFonts w:ascii="SimSun" w:hAnsi="SimSun" w:eastAsia="SimSun" w:cs="SimSun"/>
          <w:sz w:val="17"/>
          <w:szCs w:val="17"/>
          <w:color w:val="333333"/>
          <w:spacing w:val="35"/>
        </w:rPr>
        <w:t> </w:t>
      </w:r>
      <w:r>
        <w:rPr>
          <w:rFonts w:ascii="SimSun" w:hAnsi="SimSun" w:eastAsia="SimSun" w:cs="SimSun"/>
          <w:sz w:val="17"/>
          <w:szCs w:val="17"/>
          <w:color w:val="333333"/>
          <w:spacing w:val="1"/>
        </w:rPr>
        <w:t>这就要求对《工会会计制度》进行全面修订，以适应工会组织的发展和各方面会计信息需求。</w:t>
      </w:r>
    </w:p>
    <w:p>
      <w:pPr>
        <w:ind w:firstLine="1394"/>
        <w:spacing w:before="108" w:line="187" w:lineRule="auto"/>
        <w:rPr>
          <w:rFonts w:ascii="SimSun" w:hAnsi="SimSun" w:eastAsia="SimSun" w:cs="SimSun"/>
          <w:sz w:val="17"/>
          <w:szCs w:val="17"/>
        </w:rPr>
      </w:pPr>
      <w:r>
        <w:rPr>
          <w:rFonts w:ascii="SimSun" w:hAnsi="SimSun" w:eastAsia="SimSun" w:cs="SimSun"/>
          <w:sz w:val="17"/>
          <w:szCs w:val="17"/>
          <w:color w:val="333333"/>
          <w:spacing w:val="1"/>
        </w:rPr>
        <w:t>（三）社会保障制度及有关社会事业的改革与发展，对基金（资金）会计信息质量提出更高要求。</w:t>
      </w:r>
    </w:p>
    <w:p>
      <w:pPr>
        <w:ind w:left="1046" w:right="1016" w:firstLine="345"/>
        <w:spacing w:before="237" w:line="327" w:lineRule="auto"/>
        <w:rPr>
          <w:rFonts w:ascii="SimSun" w:hAnsi="SimSun" w:eastAsia="SimSun" w:cs="SimSun"/>
          <w:sz w:val="17"/>
          <w:szCs w:val="17"/>
        </w:rPr>
      </w:pPr>
      <w:r>
        <w:rPr>
          <w:rFonts w:ascii="SimSun" w:hAnsi="SimSun" w:eastAsia="SimSun" w:cs="SimSun"/>
          <w:sz w:val="17"/>
          <w:szCs w:val="17"/>
          <w:color w:val="333333"/>
          <w:spacing w:val="2"/>
        </w:rPr>
        <w:t>一是在养老保险制度改革方面，我国已经建立并实施机关事业单位工作人员职业年金制度。近年来职业年金基金相关管理政策</w:t>
      </w:r>
      <w:r>
        <w:rPr>
          <w:rFonts w:ascii="SimSun" w:hAnsi="SimSun" w:eastAsia="SimSun" w:cs="SimSun"/>
          <w:sz w:val="17"/>
          <w:szCs w:val="17"/>
          <w:color w:val="333333"/>
          <w:spacing w:val="30"/>
        </w:rPr>
        <w:t> </w:t>
      </w:r>
      <w:r>
        <w:rPr>
          <w:rFonts w:ascii="SimSun" w:hAnsi="SimSun" w:eastAsia="SimSun" w:cs="SimSun"/>
          <w:sz w:val="17"/>
          <w:szCs w:val="17"/>
          <w:color w:val="333333"/>
        </w:rPr>
        <w:t>不断完善，基金规模快速增长，基金全面投入委托运营，原《社会保险基金会计制度》</w:t>
      </w:r>
      <w:r>
        <w:rPr>
          <w:rFonts w:ascii="SimSun" w:hAnsi="SimSun" w:eastAsia="SimSun" w:cs="SimSun"/>
          <w:sz w:val="17"/>
          <w:szCs w:val="17"/>
          <w:color w:val="333333"/>
          <w:spacing w:val="60"/>
          <w:w w:val="101"/>
        </w:rPr>
        <w:t> </w:t>
      </w:r>
      <w:r>
        <w:rPr>
          <w:rFonts w:ascii="SimSun" w:hAnsi="SimSun" w:eastAsia="SimSun" w:cs="SimSun"/>
          <w:sz w:val="17"/>
          <w:szCs w:val="17"/>
          <w:color w:val="333333"/>
        </w:rPr>
        <w:t>已经不能完全适应职业年金基金会计核算的</w:t>
      </w:r>
      <w:r>
        <w:rPr>
          <w:rFonts w:ascii="SimSun" w:hAnsi="SimSun" w:eastAsia="SimSun" w:cs="SimSun"/>
          <w:sz w:val="17"/>
          <w:szCs w:val="17"/>
          <w:color w:val="333333"/>
        </w:rPr>
        <w:t> </w:t>
      </w:r>
      <w:r>
        <w:rPr>
          <w:rFonts w:ascii="SimSun" w:hAnsi="SimSun" w:eastAsia="SimSun" w:cs="SimSun"/>
          <w:sz w:val="17"/>
          <w:szCs w:val="17"/>
          <w:color w:val="333333"/>
        </w:rPr>
        <w:t>需要，亟需对相关会计处理规定作出针对性的调整。</w:t>
      </w:r>
    </w:p>
    <w:p>
      <w:pPr>
        <w:ind w:left="1044" w:right="1016" w:firstLine="348"/>
        <w:spacing w:before="108" w:line="327" w:lineRule="auto"/>
        <w:rPr>
          <w:rFonts w:ascii="SimSun" w:hAnsi="SimSun" w:eastAsia="SimSun" w:cs="SimSun"/>
          <w:sz w:val="17"/>
          <w:szCs w:val="17"/>
        </w:rPr>
      </w:pPr>
      <w:r>
        <w:rPr>
          <w:rFonts w:ascii="SimSun" w:hAnsi="SimSun" w:eastAsia="SimSun" w:cs="SimSun"/>
          <w:sz w:val="17"/>
          <w:szCs w:val="17"/>
          <w:color w:val="333333"/>
        </w:rPr>
        <w:t>二是在医疗保障制度改革方面，国务院办公厅印发的《</w:t>
      </w:r>
      <w:r>
        <w:rPr>
          <w:rFonts w:ascii="SimSun" w:hAnsi="SimSun" w:eastAsia="SimSun" w:cs="SimSun"/>
          <w:sz w:val="17"/>
          <w:szCs w:val="17"/>
          <w:color w:val="333333"/>
          <w:spacing w:val="-66"/>
        </w:rPr>
        <w:t> </w:t>
      </w:r>
      <w:r>
        <w:rPr>
          <w:rFonts w:ascii="SimSun" w:hAnsi="SimSun" w:eastAsia="SimSun" w:cs="SimSun"/>
          <w:sz w:val="17"/>
          <w:szCs w:val="17"/>
          <w:color w:val="333333"/>
        </w:rPr>
        <w:t>“十四五”全民医疗保障规划》</w:t>
      </w:r>
      <w:r>
        <w:rPr>
          <w:rFonts w:ascii="SimSun" w:hAnsi="SimSun" w:eastAsia="SimSun" w:cs="SimSun"/>
          <w:sz w:val="17"/>
          <w:szCs w:val="17"/>
          <w:color w:val="333333"/>
          <w:spacing w:val="32"/>
        </w:rPr>
        <w:t> </w:t>
      </w:r>
      <w:r>
        <w:rPr>
          <w:rFonts w:ascii="SimSun" w:hAnsi="SimSun" w:eastAsia="SimSun" w:cs="SimSun"/>
          <w:sz w:val="17"/>
          <w:szCs w:val="17"/>
          <w:color w:val="333333"/>
        </w:rPr>
        <w:t>明确指出，</w:t>
      </w:r>
      <w:r>
        <w:rPr>
          <w:rFonts w:ascii="SimSun" w:hAnsi="SimSun" w:eastAsia="SimSun" w:cs="SimSun"/>
          <w:sz w:val="17"/>
          <w:szCs w:val="17"/>
          <w:color w:val="333333"/>
          <w:spacing w:val="-81"/>
        </w:rPr>
        <w:t> </w:t>
      </w:r>
      <w:r>
        <w:rPr>
          <w:rFonts w:ascii="SimSun" w:hAnsi="SimSun" w:eastAsia="SimSun" w:cs="SimSun"/>
          <w:sz w:val="17"/>
          <w:szCs w:val="17"/>
          <w:color w:val="333333"/>
        </w:rPr>
        <w:t>“十四五”期间，将持续健</w:t>
      </w:r>
      <w:r>
        <w:rPr>
          <w:rFonts w:ascii="SimSun" w:hAnsi="SimSun" w:eastAsia="SimSun" w:cs="SimSun"/>
          <w:sz w:val="17"/>
          <w:szCs w:val="17"/>
          <w:color w:val="333333"/>
        </w:rPr>
        <w:t> </w:t>
      </w:r>
      <w:r>
        <w:rPr>
          <w:rFonts w:ascii="SimSun" w:hAnsi="SimSun" w:eastAsia="SimSun" w:cs="SimSun"/>
          <w:sz w:val="17"/>
          <w:szCs w:val="17"/>
          <w:color w:val="333333"/>
          <w:spacing w:val="2"/>
        </w:rPr>
        <w:t>全完善以基本医疗保险为主体，医疗救助为托底，补充医疗保险、商业健康保险、慈善捐赠、医疗互助等共同发展的多层次医疗保</w:t>
      </w:r>
      <w:r>
        <w:rPr>
          <w:rFonts w:ascii="SimSun" w:hAnsi="SimSun" w:eastAsia="SimSun" w:cs="SimSun"/>
          <w:sz w:val="17"/>
          <w:szCs w:val="17"/>
          <w:color w:val="333333"/>
          <w:spacing w:val="34"/>
        </w:rPr>
        <w:t> </w:t>
      </w:r>
      <w:r>
        <w:rPr>
          <w:rFonts w:ascii="SimSun" w:hAnsi="SimSun" w:eastAsia="SimSun" w:cs="SimSun"/>
          <w:sz w:val="17"/>
          <w:szCs w:val="17"/>
          <w:color w:val="333333"/>
        </w:rPr>
        <w:t>障制度。同时，关于医疗保障的法规制度也在不断健全和完善，</w:t>
      </w:r>
      <w:r>
        <w:rPr>
          <w:rFonts w:ascii="SimSun" w:hAnsi="SimSun" w:eastAsia="SimSun" w:cs="SimSun"/>
          <w:sz w:val="17"/>
          <w:szCs w:val="17"/>
          <w:color w:val="333333"/>
          <w:spacing w:val="-27"/>
        </w:rPr>
        <w:t> </w:t>
      </w:r>
      <w:r>
        <w:rPr>
          <w:rFonts w:ascii="SimSun" w:hAnsi="SimSun" w:eastAsia="SimSun" w:cs="SimSun"/>
          <w:sz w:val="17"/>
          <w:szCs w:val="17"/>
          <w:color w:val="333333"/>
        </w:rPr>
        <w:t>《医疗保障法（征求意见稿）</w:t>
      </w:r>
      <w:r>
        <w:rPr>
          <w:rFonts w:ascii="SimSun" w:hAnsi="SimSun" w:eastAsia="SimSun" w:cs="SimSun"/>
          <w:sz w:val="17"/>
          <w:szCs w:val="17"/>
          <w:color w:val="333333"/>
          <w:spacing w:val="5"/>
        </w:rPr>
        <w:t> </w:t>
      </w:r>
      <w:r>
        <w:rPr>
          <w:rFonts w:ascii="SimSun" w:hAnsi="SimSun" w:eastAsia="SimSun" w:cs="SimSun"/>
          <w:sz w:val="17"/>
          <w:szCs w:val="17"/>
          <w:color w:val="333333"/>
        </w:rPr>
        <w:t>》已向社会公开征求意见。因此，亟</w:t>
      </w:r>
      <w:r>
        <w:rPr>
          <w:rFonts w:ascii="SimSun" w:hAnsi="SimSun" w:eastAsia="SimSun" w:cs="SimSun"/>
          <w:sz w:val="17"/>
          <w:szCs w:val="17"/>
          <w:color w:val="333333"/>
        </w:rPr>
        <w:t> </w:t>
      </w:r>
      <w:r>
        <w:rPr>
          <w:rFonts w:ascii="SimSun" w:hAnsi="SimSun" w:eastAsia="SimSun" w:cs="SimSun"/>
          <w:sz w:val="17"/>
          <w:szCs w:val="17"/>
          <w:color w:val="333333"/>
          <w:spacing w:val="1"/>
        </w:rPr>
        <w:t>需跟进医疗保障制度改革进程，适时对《社会保险基金会计制度》进行修订或作出补充规定。</w:t>
      </w:r>
    </w:p>
    <w:p>
      <w:pPr>
        <w:ind w:left="1043" w:right="1016" w:firstLine="346"/>
        <w:spacing w:before="108" w:line="327" w:lineRule="auto"/>
        <w:rPr>
          <w:rFonts w:ascii="SimSun" w:hAnsi="SimSun" w:eastAsia="SimSun" w:cs="SimSun"/>
          <w:sz w:val="17"/>
          <w:szCs w:val="17"/>
        </w:rPr>
      </w:pPr>
      <w:r>
        <w:rPr>
          <w:rFonts w:ascii="SimSun" w:hAnsi="SimSun" w:eastAsia="SimSun" w:cs="SimSun"/>
          <w:sz w:val="17"/>
          <w:szCs w:val="17"/>
          <w:color w:val="333333"/>
          <w:spacing w:val="2"/>
        </w:rPr>
        <w:t>三是随着土地储备、住房公积金、道路交通事故社会救助基金等改革及相关管理政策的调整和完善，需要适时修订完善《土地</w:t>
      </w:r>
      <w:r>
        <w:rPr>
          <w:rFonts w:ascii="SimSun" w:hAnsi="SimSun" w:eastAsia="SimSun" w:cs="SimSun"/>
          <w:sz w:val="17"/>
          <w:szCs w:val="17"/>
          <w:color w:val="333333"/>
          <w:spacing w:val="33"/>
        </w:rPr>
        <w:t> </w:t>
      </w:r>
      <w:r>
        <w:rPr>
          <w:rFonts w:ascii="SimSun" w:hAnsi="SimSun" w:eastAsia="SimSun" w:cs="SimSun"/>
          <w:sz w:val="17"/>
          <w:szCs w:val="17"/>
          <w:color w:val="333333"/>
          <w:spacing w:val="-1"/>
        </w:rPr>
        <w:t>储备资金会计核算办法（试行）</w:t>
      </w:r>
      <w:r>
        <w:rPr>
          <w:rFonts w:ascii="SimSun" w:hAnsi="SimSun" w:eastAsia="SimSun" w:cs="SimSun"/>
          <w:sz w:val="17"/>
          <w:szCs w:val="17"/>
          <w:color w:val="333333"/>
          <w:spacing w:val="19"/>
        </w:rPr>
        <w:t> </w:t>
      </w:r>
      <w:r>
        <w:rPr>
          <w:rFonts w:ascii="SimSun" w:hAnsi="SimSun" w:eastAsia="SimSun" w:cs="SimSun"/>
          <w:sz w:val="17"/>
          <w:szCs w:val="17"/>
          <w:color w:val="333333"/>
          <w:spacing w:val="-1"/>
        </w:rPr>
        <w:t>》、</w:t>
      </w:r>
      <w:r>
        <w:rPr>
          <w:rFonts w:ascii="SimSun" w:hAnsi="SimSun" w:eastAsia="SimSun" w:cs="SimSun"/>
          <w:sz w:val="17"/>
          <w:szCs w:val="17"/>
          <w:color w:val="333333"/>
          <w:spacing w:val="-81"/>
        </w:rPr>
        <w:t> </w:t>
      </w:r>
      <w:r>
        <w:rPr>
          <w:rFonts w:ascii="SimSun" w:hAnsi="SimSun" w:eastAsia="SimSun" w:cs="SimSun"/>
          <w:sz w:val="17"/>
          <w:szCs w:val="17"/>
          <w:color w:val="333333"/>
          <w:spacing w:val="-1"/>
        </w:rPr>
        <w:t>《住房公积金会计核算办法》</w:t>
      </w:r>
      <w:r>
        <w:rPr>
          <w:rFonts w:ascii="SimSun" w:hAnsi="SimSun" w:eastAsia="SimSun" w:cs="SimSun"/>
          <w:sz w:val="17"/>
          <w:szCs w:val="17"/>
          <w:color w:val="333333"/>
          <w:spacing w:val="13"/>
        </w:rPr>
        <w:t> </w:t>
      </w:r>
      <w:r>
        <w:rPr>
          <w:rFonts w:ascii="SimSun" w:hAnsi="SimSun" w:eastAsia="SimSun" w:cs="SimSun"/>
          <w:sz w:val="17"/>
          <w:szCs w:val="17"/>
          <w:color w:val="333333"/>
          <w:spacing w:val="-1"/>
        </w:rPr>
        <w:t>，制定道路交通事故社会救助基金等会计核算办法，以满足相关</w:t>
      </w:r>
      <w:r>
        <w:rPr>
          <w:rFonts w:ascii="SimSun" w:hAnsi="SimSun" w:eastAsia="SimSun" w:cs="SimSun"/>
          <w:sz w:val="17"/>
          <w:szCs w:val="17"/>
          <w:color w:val="333333"/>
        </w:rPr>
        <w:t> </w:t>
      </w:r>
      <w:r>
        <w:rPr>
          <w:rFonts w:ascii="SimSun" w:hAnsi="SimSun" w:eastAsia="SimSun" w:cs="SimSun"/>
          <w:sz w:val="17"/>
          <w:szCs w:val="17"/>
          <w:color w:val="333333"/>
          <w:spacing w:val="-1"/>
        </w:rPr>
        <w:t>社会事业改革与发展的需要。</w:t>
      </w:r>
    </w:p>
    <w:p>
      <w:pPr>
        <w:ind w:firstLine="1388"/>
        <w:spacing w:before="108" w:line="187" w:lineRule="auto"/>
        <w:rPr>
          <w:rFonts w:ascii="SimSun" w:hAnsi="SimSun" w:eastAsia="SimSun" w:cs="SimSun"/>
          <w:sz w:val="17"/>
          <w:szCs w:val="17"/>
        </w:rPr>
      </w:pPr>
      <w:r>
        <w:rPr>
          <w:rFonts w:ascii="SimSun" w:hAnsi="SimSun" w:eastAsia="SimSun" w:cs="SimSun"/>
          <w:sz w:val="17"/>
          <w:szCs w:val="17"/>
          <w:color w:val="333333"/>
          <w:spacing w:val="11"/>
        </w:rPr>
        <w:t>三、</w:t>
      </w:r>
      <w:r>
        <w:rPr>
          <w:rFonts w:ascii="SimSun" w:hAnsi="SimSun" w:eastAsia="SimSun" w:cs="SimSun"/>
          <w:sz w:val="17"/>
          <w:szCs w:val="17"/>
          <w:color w:val="333333"/>
          <w:spacing w:val="-45"/>
        </w:rPr>
        <w:t> </w:t>
      </w:r>
      <w:r>
        <w:rPr>
          <w:rFonts w:ascii="SimSun" w:hAnsi="SimSun" w:eastAsia="SimSun" w:cs="SimSun"/>
          <w:sz w:val="17"/>
          <w:szCs w:val="17"/>
          <w:color w:val="333333"/>
          <w:spacing w:val="11"/>
        </w:rPr>
        <w:t>“十四五”时期政府及非营利组织会计改革工作重点及具体举措</w:t>
      </w:r>
    </w:p>
    <w:p>
      <w:pPr>
        <w:ind w:firstLine="539"/>
        <w:spacing w:before="149" w:line="218" w:lineRule="exact"/>
        <w:rPr>
          <w:rFonts w:ascii="Arial" w:hAnsi="Arial" w:eastAsia="Arial" w:cs="Arial"/>
          <w:sz w:val="16"/>
          <w:szCs w:val="16"/>
        </w:rPr>
      </w:pPr>
      <w:r>
        <w:rPr>
          <w:rFonts w:ascii="Arial" w:hAnsi="Arial" w:eastAsia="Arial" w:cs="Arial"/>
          <w:sz w:val="16"/>
          <w:szCs w:val="16"/>
          <w:spacing w:val="-1"/>
        </w:rPr>
        <w:t>kjs.mof.gov.cn/zhengcejiedu/202112/t20211230_3779801.htm</w:t>
      </w:r>
      <w:r>
        <w:rPr>
          <w:rFonts w:ascii="Arial" w:hAnsi="Arial" w:eastAsia="Arial" w:cs="Arial"/>
          <w:sz w:val="16"/>
          <w:szCs w:val="16"/>
        </w:rPr>
        <w:t>                                                                                                                                            </w:t>
      </w:r>
      <w:r>
        <w:rPr>
          <w:rFonts w:ascii="Arial" w:hAnsi="Arial" w:eastAsia="Arial" w:cs="Arial"/>
          <w:sz w:val="16"/>
          <w:szCs w:val="16"/>
          <w:spacing w:val="-1"/>
        </w:rPr>
        <w:t>2/5</w:t>
      </w:r>
    </w:p>
    <w:p>
      <w:pPr>
        <w:sectPr>
          <w:pgSz w:w="11900" w:h="16839"/>
          <w:pgMar w:top="0" w:right="0" w:bottom="0" w:left="0" w:header="0" w:footer="0" w:gutter="0"/>
        </w:sectPr>
        <w:rPr/>
      </w:pPr>
    </w:p>
    <w:p>
      <w:pPr>
        <w:ind w:firstLine="533"/>
        <w:spacing w:before="293" w:line="191"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w w:val="102"/>
          <w:position w:val="1"/>
        </w:rPr>
        <w:t>                                </w:t>
      </w:r>
      <w:r>
        <w:rPr>
          <w:rFonts w:ascii="Microsoft YaHei" w:hAnsi="Microsoft YaHei" w:eastAsia="Microsoft YaHei" w:cs="Microsoft YaHei"/>
          <w:sz w:val="16"/>
          <w:szCs w:val="16"/>
          <w:spacing w:val="-2"/>
        </w:rPr>
        <w:t>深化政府及非营利组织会计改革</w:t>
      </w:r>
      <w:r>
        <w:rPr>
          <w:rFonts w:ascii="Microsoft YaHei" w:hAnsi="Microsoft YaHei" w:eastAsia="Microsoft YaHei" w:cs="Microsoft YaHei"/>
          <w:sz w:val="16"/>
          <w:szCs w:val="16"/>
          <w:spacing w:val="1"/>
        </w:rPr>
        <w:t> </w:t>
      </w:r>
      <w:r>
        <w:rPr>
          <w:rFonts w:ascii="Microsoft YaHei" w:hAnsi="Microsoft YaHei" w:eastAsia="Microsoft YaHei" w:cs="Microsoft YaHei"/>
          <w:sz w:val="16"/>
          <w:szCs w:val="16"/>
          <w:spacing w:val="-2"/>
        </w:rPr>
        <w:t>夯实现代财政制度基础</w:t>
      </w:r>
      <w:r>
        <w:rPr>
          <w:rFonts w:ascii="Arial" w:hAnsi="Arial" w:eastAsia="Arial" w:cs="Arial"/>
          <w:sz w:val="16"/>
          <w:szCs w:val="16"/>
          <w:spacing w:val="-2"/>
        </w:rPr>
        <w:t>——</w:t>
      </w:r>
      <w:r>
        <w:rPr>
          <w:rFonts w:ascii="Arial" w:hAnsi="Arial" w:eastAsia="Arial" w:cs="Arial"/>
          <w:sz w:val="16"/>
          <w:szCs w:val="16"/>
          <w:spacing w:val="33"/>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规划纲要》系列解读之二</w:t>
      </w:r>
    </w:p>
    <w:p>
      <w:pPr>
        <w:ind w:left="1044" w:right="1016" w:firstLine="347"/>
        <w:spacing w:before="135" w:line="327" w:lineRule="auto"/>
        <w:rPr>
          <w:rFonts w:ascii="SimSun" w:hAnsi="SimSun" w:eastAsia="SimSun" w:cs="SimSun"/>
          <w:sz w:val="17"/>
          <w:szCs w:val="17"/>
        </w:rPr>
      </w:pPr>
      <w:r>
        <w:rPr>
          <w:rFonts w:ascii="SimSun" w:hAnsi="SimSun" w:eastAsia="SimSun" w:cs="SimSun"/>
          <w:sz w:val="17"/>
          <w:szCs w:val="17"/>
          <w:color w:val="333333"/>
          <w:spacing w:val="1"/>
        </w:rPr>
        <w:t>《规划纲要》</w:t>
      </w:r>
      <w:r>
        <w:rPr>
          <w:rFonts w:ascii="SimSun" w:hAnsi="SimSun" w:eastAsia="SimSun" w:cs="SimSun"/>
          <w:sz w:val="17"/>
          <w:szCs w:val="17"/>
          <w:color w:val="333333"/>
          <w:spacing w:val="1"/>
        </w:rPr>
        <w:t> </w:t>
      </w:r>
      <w:r>
        <w:rPr>
          <w:rFonts w:ascii="SimSun" w:hAnsi="SimSun" w:eastAsia="SimSun" w:cs="SimSun"/>
          <w:sz w:val="17"/>
          <w:szCs w:val="17"/>
          <w:color w:val="333333"/>
          <w:spacing w:val="1"/>
        </w:rPr>
        <w:t>在总结成绩、分析形势的基础上，提出了继续深化政府及非营利组织会计改革的目标和任务，从健全完善政府会</w:t>
      </w:r>
      <w:r>
        <w:rPr>
          <w:rFonts w:ascii="SimSun" w:hAnsi="SimSun" w:eastAsia="SimSun" w:cs="SimSun"/>
          <w:sz w:val="17"/>
          <w:szCs w:val="17"/>
          <w:color w:val="333333"/>
        </w:rPr>
        <w:t> </w:t>
      </w:r>
      <w:r>
        <w:rPr>
          <w:rFonts w:ascii="SimSun" w:hAnsi="SimSun" w:eastAsia="SimSun" w:cs="SimSun"/>
          <w:sz w:val="17"/>
          <w:szCs w:val="17"/>
          <w:color w:val="333333"/>
          <w:spacing w:val="1"/>
        </w:rPr>
        <w:t>计准则制度体系并推进全面有效实施、修订完善非营利组织会计制度、进一步建立健全基金（资金）</w:t>
      </w:r>
      <w:r>
        <w:rPr>
          <w:rFonts w:ascii="SimSun" w:hAnsi="SimSun" w:eastAsia="SimSun" w:cs="SimSun"/>
          <w:sz w:val="17"/>
          <w:szCs w:val="17"/>
          <w:color w:val="333333"/>
          <w:spacing w:val="6"/>
        </w:rPr>
        <w:t> </w:t>
      </w:r>
      <w:r>
        <w:rPr>
          <w:rFonts w:ascii="SimSun" w:hAnsi="SimSun" w:eastAsia="SimSun" w:cs="SimSun"/>
          <w:sz w:val="17"/>
          <w:szCs w:val="17"/>
          <w:color w:val="333333"/>
          <w:spacing w:val="1"/>
        </w:rPr>
        <w:t>类会计标准等方面明确了“十</w:t>
      </w:r>
      <w:r>
        <w:rPr>
          <w:rFonts w:ascii="SimSun" w:hAnsi="SimSun" w:eastAsia="SimSun" w:cs="SimSun"/>
          <w:sz w:val="17"/>
          <w:szCs w:val="17"/>
          <w:color w:val="333333"/>
        </w:rPr>
        <w:t> </w:t>
      </w:r>
      <w:r>
        <w:rPr>
          <w:rFonts w:ascii="SimSun" w:hAnsi="SimSun" w:eastAsia="SimSun" w:cs="SimSun"/>
          <w:sz w:val="17"/>
          <w:szCs w:val="17"/>
          <w:color w:val="333333"/>
          <w:spacing w:val="1"/>
        </w:rPr>
        <w:t>四五”期间政府及非营利组织会计准则制度体系建设的主要举措。</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（一）继续健全完善政府会计准则制度并推动其全面有效实施。</w:t>
      </w:r>
    </w:p>
    <w:p>
      <w:pPr>
        <w:ind w:left="1047" w:right="1016" w:firstLine="354"/>
        <w:spacing w:before="237" w:line="327" w:lineRule="auto"/>
        <w:rPr>
          <w:rFonts w:ascii="SimSun" w:hAnsi="SimSun" w:eastAsia="SimSun" w:cs="SimSun"/>
          <w:sz w:val="17"/>
          <w:szCs w:val="17"/>
        </w:rPr>
      </w:pPr>
      <w:r>
        <w:rPr>
          <w:rFonts w:ascii="SimSun" w:hAnsi="SimSun" w:eastAsia="SimSun" w:cs="SimSun"/>
          <w:sz w:val="17"/>
          <w:szCs w:val="17"/>
          <w:color w:val="333333"/>
          <w:spacing w:val="2"/>
        </w:rPr>
        <w:t>1.全面系统梳理政府会计准则制度体系并确立体系维护机制。立足当前，着眼长远，坚持问题导向和系统思维，全面梳理现存</w:t>
      </w:r>
      <w:r>
        <w:rPr>
          <w:rFonts w:ascii="SimSun" w:hAnsi="SimSun" w:eastAsia="SimSun" w:cs="SimSun"/>
          <w:sz w:val="17"/>
          <w:szCs w:val="17"/>
          <w:color w:val="333333"/>
          <w:spacing w:val="18"/>
        </w:rPr>
        <w:t> </w:t>
      </w:r>
      <w:r>
        <w:rPr>
          <w:rFonts w:ascii="SimSun" w:hAnsi="SimSun" w:eastAsia="SimSun" w:cs="SimSun"/>
          <w:sz w:val="17"/>
          <w:szCs w:val="17"/>
          <w:color w:val="333333"/>
          <w:spacing w:val="2"/>
        </w:rPr>
        <w:t>的各类政府会计标准，及时清理已实质失效或不再适用的政府会计标准文件，确立政府会计准则制度体系整体框架及各类会计标准</w:t>
      </w:r>
      <w:r>
        <w:rPr>
          <w:rFonts w:ascii="SimSun" w:hAnsi="SimSun" w:eastAsia="SimSun" w:cs="SimSun"/>
          <w:sz w:val="17"/>
          <w:szCs w:val="17"/>
          <w:color w:val="333333"/>
          <w:spacing w:val="31"/>
        </w:rPr>
        <w:t> </w:t>
      </w:r>
      <w:r>
        <w:rPr>
          <w:rFonts w:ascii="SimSun" w:hAnsi="SimSun" w:eastAsia="SimSun" w:cs="SimSun"/>
          <w:sz w:val="17"/>
          <w:szCs w:val="17"/>
          <w:color w:val="333333"/>
          <w:spacing w:val="2"/>
        </w:rPr>
        <w:t>的维护机制，形成“建设-实施-修订”的完整闭环，确保各类准则制度内容完整、相互协调、功能明确、定位清晰。在准则制度体</w:t>
      </w:r>
      <w:r>
        <w:rPr>
          <w:rFonts w:ascii="SimSun" w:hAnsi="SimSun" w:eastAsia="SimSun" w:cs="SimSun"/>
          <w:sz w:val="17"/>
          <w:szCs w:val="17"/>
          <w:color w:val="333333"/>
          <w:spacing w:val="29"/>
        </w:rPr>
        <w:t> </w:t>
      </w:r>
      <w:r>
        <w:rPr>
          <w:rFonts w:ascii="SimSun" w:hAnsi="SimSun" w:eastAsia="SimSun" w:cs="SimSun"/>
          <w:sz w:val="17"/>
          <w:szCs w:val="17"/>
          <w:color w:val="333333"/>
          <w:spacing w:val="-1"/>
        </w:rPr>
        <w:t>系框架下，持续完善各类会计标准。</w:t>
      </w:r>
    </w:p>
    <w:p>
      <w:pPr>
        <w:ind w:left="1043" w:right="1016" w:firstLine="348"/>
        <w:spacing w:before="108" w:line="327" w:lineRule="auto"/>
        <w:rPr>
          <w:rFonts w:ascii="SimSun" w:hAnsi="SimSun" w:eastAsia="SimSun" w:cs="SimSun"/>
          <w:sz w:val="17"/>
          <w:szCs w:val="17"/>
        </w:rPr>
      </w:pPr>
      <w:r>
        <w:rPr>
          <w:rFonts w:ascii="SimSun" w:hAnsi="SimSun" w:eastAsia="SimSun" w:cs="SimSun"/>
          <w:sz w:val="17"/>
          <w:szCs w:val="17"/>
          <w:color w:val="333333"/>
          <w:spacing w:val="2"/>
        </w:rPr>
        <w:t>2.研究制定有关政府会计具体准则。在立足我国国情、借鉴国际公共部门会计准则基础上，结合国务院有关部门对自然资源资</w:t>
      </w:r>
      <w:r>
        <w:rPr>
          <w:rFonts w:ascii="SimSun" w:hAnsi="SimSun" w:eastAsia="SimSun" w:cs="SimSun"/>
          <w:sz w:val="17"/>
          <w:szCs w:val="17"/>
          <w:color w:val="333333"/>
          <w:spacing w:val="29"/>
        </w:rPr>
        <w:t> </w:t>
      </w:r>
      <w:r>
        <w:rPr>
          <w:rFonts w:ascii="SimSun" w:hAnsi="SimSun" w:eastAsia="SimSun" w:cs="SimSun"/>
          <w:sz w:val="17"/>
          <w:szCs w:val="17"/>
          <w:color w:val="333333"/>
          <w:spacing w:val="2"/>
        </w:rPr>
        <w:t>产和文物文化资产管理的规定和相关改革需要，深入研究自然资源资产、文物文化资产的确认、计量和报告问题，适时出台相关具</w:t>
      </w:r>
      <w:r>
        <w:rPr>
          <w:rFonts w:ascii="SimSun" w:hAnsi="SimSun" w:eastAsia="SimSun" w:cs="SimSun"/>
          <w:sz w:val="17"/>
          <w:szCs w:val="17"/>
          <w:color w:val="333333"/>
          <w:spacing w:val="35"/>
        </w:rPr>
        <w:t> </w:t>
      </w:r>
      <w:r>
        <w:rPr>
          <w:rFonts w:ascii="SimSun" w:hAnsi="SimSun" w:eastAsia="SimSun" w:cs="SimSun"/>
          <w:sz w:val="17"/>
          <w:szCs w:val="17"/>
          <w:color w:val="333333"/>
          <w:spacing w:val="2"/>
        </w:rPr>
        <w:t>体会计准则，进一步规范会计科目和账务处理，妥善处理存量资产的新旧会计政策衔接，积极推进自然资源资产、文物文化资产入</w:t>
      </w:r>
      <w:r>
        <w:rPr>
          <w:rFonts w:ascii="SimSun" w:hAnsi="SimSun" w:eastAsia="SimSun" w:cs="SimSun"/>
          <w:sz w:val="17"/>
          <w:szCs w:val="17"/>
          <w:color w:val="333333"/>
          <w:spacing w:val="35"/>
        </w:rPr>
        <w:t> </w:t>
      </w:r>
      <w:r>
        <w:rPr>
          <w:rFonts w:ascii="SimSun" w:hAnsi="SimSun" w:eastAsia="SimSun" w:cs="SimSun"/>
          <w:sz w:val="17"/>
          <w:szCs w:val="17"/>
          <w:color w:val="333333"/>
          <w:spacing w:val="2"/>
        </w:rPr>
        <w:t>账核算。进一步研究财务会计中政府收入的分类问题，以及权责发生制原则下各类收入的确认和计量问题，适时制定出台政府收入</w:t>
      </w:r>
      <w:r>
        <w:rPr>
          <w:rFonts w:ascii="SimSun" w:hAnsi="SimSun" w:eastAsia="SimSun" w:cs="SimSun"/>
          <w:sz w:val="17"/>
          <w:szCs w:val="17"/>
          <w:color w:val="333333"/>
          <w:spacing w:val="35"/>
        </w:rPr>
        <w:t> </w:t>
      </w:r>
      <w:r>
        <w:rPr>
          <w:rFonts w:ascii="SimSun" w:hAnsi="SimSun" w:eastAsia="SimSun" w:cs="SimSun"/>
          <w:sz w:val="17"/>
          <w:szCs w:val="17"/>
          <w:color w:val="333333"/>
        </w:rPr>
        <w:t>会计准则。根据改革需要制定或修订其他政府会计具体准则。</w:t>
      </w:r>
    </w:p>
    <w:p>
      <w:pPr>
        <w:ind w:left="1044" w:right="1016" w:firstLine="348"/>
        <w:spacing w:before="109" w:line="327" w:lineRule="auto"/>
        <w:rPr>
          <w:rFonts w:ascii="SimSun" w:hAnsi="SimSun" w:eastAsia="SimSun" w:cs="SimSun"/>
          <w:sz w:val="17"/>
          <w:szCs w:val="17"/>
        </w:rPr>
      </w:pPr>
      <w:r>
        <w:rPr>
          <w:rFonts w:ascii="SimSun" w:hAnsi="SimSun" w:eastAsia="SimSun" w:cs="SimSun"/>
          <w:sz w:val="17"/>
          <w:szCs w:val="17"/>
          <w:color w:val="333333"/>
        </w:rPr>
        <w:t>3.研究制定行政事业单位成本核算具体指引。在《事业单位成本核算基本指引》</w:t>
      </w:r>
      <w:r>
        <w:rPr>
          <w:rFonts w:ascii="SimSun" w:hAnsi="SimSun" w:eastAsia="SimSun" w:cs="SimSun"/>
          <w:sz w:val="17"/>
          <w:szCs w:val="17"/>
          <w:color w:val="333333"/>
          <w:spacing w:val="54"/>
        </w:rPr>
        <w:t> </w:t>
      </w:r>
      <w:r>
        <w:rPr>
          <w:rFonts w:ascii="SimSun" w:hAnsi="SimSun" w:eastAsia="SimSun" w:cs="SimSun"/>
          <w:sz w:val="17"/>
          <w:szCs w:val="17"/>
          <w:color w:val="333333"/>
        </w:rPr>
        <w:t>基础上，研究制定针对公立医院、高等学校、</w:t>
      </w:r>
      <w:r>
        <w:rPr>
          <w:rFonts w:ascii="SimSun" w:hAnsi="SimSun" w:eastAsia="SimSun" w:cs="SimSun"/>
          <w:sz w:val="17"/>
          <w:szCs w:val="17"/>
          <w:color w:val="333333"/>
        </w:rPr>
        <w:t> </w:t>
      </w:r>
      <w:r>
        <w:rPr>
          <w:rFonts w:ascii="SimSun" w:hAnsi="SimSun" w:eastAsia="SimSun" w:cs="SimSun"/>
          <w:sz w:val="17"/>
          <w:szCs w:val="17"/>
          <w:color w:val="333333"/>
          <w:spacing w:val="2"/>
        </w:rPr>
        <w:t>科学事业单位等行业的成本核算具体指引，就相关行业的成本核算对象、成本项目、成本范围、成本归集和分配方法、成本报告内</w:t>
      </w:r>
      <w:r>
        <w:rPr>
          <w:rFonts w:ascii="SimSun" w:hAnsi="SimSun" w:eastAsia="SimSun" w:cs="SimSun"/>
          <w:sz w:val="17"/>
          <w:szCs w:val="17"/>
          <w:color w:val="333333"/>
          <w:spacing w:val="34"/>
        </w:rPr>
        <w:t> </w:t>
      </w:r>
      <w:r>
        <w:rPr>
          <w:rFonts w:ascii="SimSun" w:hAnsi="SimSun" w:eastAsia="SimSun" w:cs="SimSun"/>
          <w:sz w:val="17"/>
          <w:szCs w:val="17"/>
          <w:color w:val="333333"/>
          <w:spacing w:val="2"/>
        </w:rPr>
        <w:t>容等作出具体规定，以提高成本核算指引的指导性和操作性。会同有关行业主管部门扎实推进事业单位开展成本核算，推动有关各</w:t>
      </w:r>
      <w:r>
        <w:rPr>
          <w:rFonts w:ascii="SimSun" w:hAnsi="SimSun" w:eastAsia="SimSun" w:cs="SimSun"/>
          <w:sz w:val="17"/>
          <w:szCs w:val="17"/>
          <w:color w:val="333333"/>
          <w:spacing w:val="34"/>
        </w:rPr>
        <w:t> </w:t>
      </w:r>
      <w:r>
        <w:rPr>
          <w:rFonts w:ascii="SimSun" w:hAnsi="SimSun" w:eastAsia="SimSun" w:cs="SimSun"/>
          <w:sz w:val="17"/>
          <w:szCs w:val="17"/>
          <w:color w:val="333333"/>
          <w:spacing w:val="2"/>
        </w:rPr>
        <w:t>方加强对单位成本会计信息的分析应用。同时，积极探索研究行政单位成本核算的相关问题，为准确核算机关运行经费，全面反映</w:t>
      </w:r>
      <w:r>
        <w:rPr>
          <w:rFonts w:ascii="SimSun" w:hAnsi="SimSun" w:eastAsia="SimSun" w:cs="SimSun"/>
          <w:sz w:val="17"/>
          <w:szCs w:val="17"/>
          <w:color w:val="333333"/>
          <w:spacing w:val="34"/>
        </w:rPr>
        <w:t> </w:t>
      </w:r>
      <w:r>
        <w:rPr>
          <w:rFonts w:ascii="SimSun" w:hAnsi="SimSun" w:eastAsia="SimSun" w:cs="SimSun"/>
          <w:sz w:val="17"/>
          <w:szCs w:val="17"/>
          <w:color w:val="333333"/>
          <w:spacing w:val="-2"/>
        </w:rPr>
        <w:t>行政成本奠定基础。</w:t>
      </w:r>
    </w:p>
    <w:p>
      <w:pPr>
        <w:ind w:left="1044" w:right="1016" w:firstLine="344"/>
        <w:spacing w:before="108" w:line="327" w:lineRule="auto"/>
        <w:rPr>
          <w:rFonts w:ascii="SimSun" w:hAnsi="SimSun" w:eastAsia="SimSun" w:cs="SimSun"/>
          <w:sz w:val="17"/>
          <w:szCs w:val="17"/>
        </w:rPr>
      </w:pPr>
      <w:r>
        <w:rPr>
          <w:rFonts w:ascii="SimSun" w:hAnsi="SimSun" w:eastAsia="SimSun" w:cs="SimSun"/>
          <w:sz w:val="17"/>
          <w:szCs w:val="17"/>
          <w:color w:val="333333"/>
          <w:spacing w:val="2"/>
        </w:rPr>
        <w:t>4.做好政府会计准则制度解释和咨询工作。政府会计准则制度解释是及时回应和解决政府会计准则制度实施相关问题、健全完</w:t>
      </w:r>
      <w:r>
        <w:rPr>
          <w:rFonts w:ascii="SimSun" w:hAnsi="SimSun" w:eastAsia="SimSun" w:cs="SimSun"/>
          <w:sz w:val="17"/>
          <w:szCs w:val="17"/>
          <w:color w:val="333333"/>
          <w:spacing w:val="31"/>
          <w:w w:val="101"/>
        </w:rPr>
        <w:t> </w:t>
      </w:r>
      <w:r>
        <w:rPr>
          <w:rFonts w:ascii="SimSun" w:hAnsi="SimSun" w:eastAsia="SimSun" w:cs="SimSun"/>
          <w:sz w:val="17"/>
          <w:szCs w:val="17"/>
          <w:color w:val="333333"/>
          <w:spacing w:val="4"/>
        </w:rPr>
        <w:t>善政府会计准则制度体系的必要举措，根据工作需要每年至少发布1项。在制定政府会计准则制度解释时，需要通过多种渠道、广</w:t>
      </w:r>
      <w:r>
        <w:rPr>
          <w:rFonts w:ascii="SimSun" w:hAnsi="SimSun" w:eastAsia="SimSun" w:cs="SimSun"/>
          <w:sz w:val="17"/>
          <w:szCs w:val="17"/>
          <w:color w:val="333333"/>
          <w:spacing w:val="5"/>
        </w:rPr>
        <w:t> </w:t>
      </w:r>
      <w:r>
        <w:rPr>
          <w:rFonts w:ascii="SimSun" w:hAnsi="SimSun" w:eastAsia="SimSun" w:cs="SimSun"/>
          <w:sz w:val="17"/>
          <w:szCs w:val="17"/>
          <w:color w:val="333333"/>
          <w:spacing w:val="2"/>
        </w:rPr>
        <w:t>泛收集整理政府会计准则制度实施过程中的问题，分析研究后对影响面广、现有准则制度尚未明确的问题及时作出具体规定，以确</w:t>
      </w:r>
      <w:r>
        <w:rPr>
          <w:rFonts w:ascii="SimSun" w:hAnsi="SimSun" w:eastAsia="SimSun" w:cs="SimSun"/>
          <w:sz w:val="17"/>
          <w:szCs w:val="17"/>
          <w:color w:val="333333"/>
          <w:spacing w:val="34"/>
        </w:rPr>
        <w:t> </w:t>
      </w:r>
      <w:r>
        <w:rPr>
          <w:rFonts w:ascii="SimSun" w:hAnsi="SimSun" w:eastAsia="SimSun" w:cs="SimSun"/>
          <w:sz w:val="17"/>
          <w:szCs w:val="17"/>
          <w:color w:val="333333"/>
          <w:spacing w:val="2"/>
        </w:rPr>
        <w:t>保政府会计准则制度平稳有效实施。对于未纳入政府会计准则制度解释的其他问题，建立咨询问题库，适时通过财政部网站“实施</w:t>
      </w:r>
      <w:r>
        <w:rPr>
          <w:rFonts w:ascii="SimSun" w:hAnsi="SimSun" w:eastAsia="SimSun" w:cs="SimSun"/>
          <w:sz w:val="17"/>
          <w:szCs w:val="17"/>
          <w:color w:val="333333"/>
          <w:spacing w:val="34"/>
        </w:rPr>
        <w:t> </w:t>
      </w:r>
      <w:r>
        <w:rPr>
          <w:rFonts w:ascii="SimSun" w:hAnsi="SimSun" w:eastAsia="SimSun" w:cs="SimSun"/>
          <w:sz w:val="17"/>
          <w:szCs w:val="17"/>
          <w:color w:val="333333"/>
          <w:spacing w:val="1"/>
        </w:rPr>
        <w:t>问答”栏目予以明确。同时，积极做好日常电话咨询问题和网民留言咨询问题的答复工作。</w:t>
      </w:r>
    </w:p>
    <w:p>
      <w:pPr>
        <w:ind w:left="1043" w:right="1016" w:firstLine="349"/>
        <w:spacing w:before="108" w:line="327" w:lineRule="auto"/>
        <w:rPr>
          <w:rFonts w:ascii="SimSun" w:hAnsi="SimSun" w:eastAsia="SimSun" w:cs="SimSun"/>
          <w:sz w:val="17"/>
          <w:szCs w:val="17"/>
        </w:rPr>
      </w:pPr>
      <w:r>
        <w:rPr>
          <w:rFonts w:ascii="SimSun" w:hAnsi="SimSun" w:eastAsia="SimSun" w:cs="SimSun"/>
          <w:sz w:val="17"/>
          <w:szCs w:val="17"/>
          <w:color w:val="333333"/>
          <w:spacing w:val="2"/>
        </w:rPr>
        <w:t>5.扎实推动公共基础设施入账核算。针对存量公共基础设施入账难的现实情况，在深入开展调查研究基础上，根据《政府会计</w:t>
      </w:r>
      <w:r>
        <w:rPr>
          <w:rFonts w:ascii="SimSun" w:hAnsi="SimSun" w:eastAsia="SimSun" w:cs="SimSun"/>
          <w:sz w:val="17"/>
          <w:szCs w:val="17"/>
          <w:color w:val="333333"/>
          <w:spacing w:val="27"/>
        </w:rPr>
        <w:t> </w:t>
      </w:r>
      <w:r>
        <w:rPr>
          <w:rFonts w:ascii="SimSun" w:hAnsi="SimSun" w:eastAsia="SimSun" w:cs="SimSun"/>
          <w:sz w:val="17"/>
          <w:szCs w:val="17"/>
          <w:color w:val="333333"/>
          <w:spacing w:val="2"/>
        </w:rPr>
        <w:t>准则第5号——公共基础设施》</w:t>
      </w:r>
      <w:r>
        <w:rPr>
          <w:rFonts w:ascii="SimSun" w:hAnsi="SimSun" w:eastAsia="SimSun" w:cs="SimSun"/>
          <w:sz w:val="17"/>
          <w:szCs w:val="17"/>
          <w:color w:val="333333"/>
          <w:spacing w:val="35"/>
        </w:rPr>
        <w:t> </w:t>
      </w:r>
      <w:r>
        <w:rPr>
          <w:rFonts w:ascii="SimSun" w:hAnsi="SimSun" w:eastAsia="SimSun" w:cs="SimSun"/>
          <w:sz w:val="17"/>
          <w:szCs w:val="17"/>
          <w:color w:val="333333"/>
          <w:spacing w:val="2"/>
        </w:rPr>
        <w:t>和其他相关政府会计准则制度规定，会同有关行业主管部门研究制定进一步加强水利基础设施、市</w:t>
      </w:r>
      <w:r>
        <w:rPr>
          <w:rFonts w:ascii="SimSun" w:hAnsi="SimSun" w:eastAsia="SimSun" w:cs="SimSun"/>
          <w:sz w:val="17"/>
          <w:szCs w:val="17"/>
          <w:color w:val="333333"/>
        </w:rPr>
        <w:t> </w:t>
      </w:r>
      <w:r>
        <w:rPr>
          <w:rFonts w:ascii="SimSun" w:hAnsi="SimSun" w:eastAsia="SimSun" w:cs="SimSun"/>
          <w:sz w:val="17"/>
          <w:szCs w:val="17"/>
          <w:color w:val="333333"/>
          <w:spacing w:val="2"/>
        </w:rPr>
        <w:t>政基础设施和其他公共基础设施政府会计核算的通知，进一步明确核算范围、记账主体、资产分类及明细核算、存量资产初始入账</w:t>
      </w:r>
      <w:r>
        <w:rPr>
          <w:rFonts w:ascii="SimSun" w:hAnsi="SimSun" w:eastAsia="SimSun" w:cs="SimSun"/>
          <w:sz w:val="17"/>
          <w:szCs w:val="17"/>
          <w:color w:val="333333"/>
          <w:spacing w:val="35"/>
        </w:rPr>
        <w:t> </w:t>
      </w:r>
      <w:r>
        <w:rPr>
          <w:rFonts w:ascii="SimSun" w:hAnsi="SimSun" w:eastAsia="SimSun" w:cs="SimSun"/>
          <w:sz w:val="17"/>
          <w:szCs w:val="17"/>
          <w:color w:val="333333"/>
          <w:spacing w:val="1"/>
        </w:rPr>
        <w:t>方法等，积极推动交通、水利、市政等公共基础设施在“十四五”期间全部入账核算。</w:t>
      </w:r>
    </w:p>
    <w:p>
      <w:pPr>
        <w:ind w:left="1043" w:right="1016" w:firstLine="347"/>
        <w:spacing w:before="109" w:line="327" w:lineRule="auto"/>
        <w:rPr>
          <w:rFonts w:ascii="SimSun" w:hAnsi="SimSun" w:eastAsia="SimSun" w:cs="SimSun"/>
          <w:sz w:val="17"/>
          <w:szCs w:val="17"/>
        </w:rPr>
      </w:pPr>
      <w:r>
        <w:rPr>
          <w:rFonts w:ascii="SimSun" w:hAnsi="SimSun" w:eastAsia="SimSun" w:cs="SimSun"/>
          <w:sz w:val="17"/>
          <w:szCs w:val="17"/>
          <w:color w:val="333333"/>
          <w:spacing w:val="2"/>
        </w:rPr>
        <w:t>6.持续推动政府会计准则制度全面有效实施。在总结政府会计准则制度实施经验基础上，进一步加强对准则制度的宣传培训和</w:t>
      </w:r>
      <w:r>
        <w:rPr>
          <w:rFonts w:ascii="SimSun" w:hAnsi="SimSun" w:eastAsia="SimSun" w:cs="SimSun"/>
          <w:sz w:val="17"/>
          <w:szCs w:val="17"/>
          <w:color w:val="333333"/>
          <w:spacing w:val="29"/>
        </w:rPr>
        <w:t> </w:t>
      </w:r>
      <w:r>
        <w:rPr>
          <w:rFonts w:ascii="SimSun" w:hAnsi="SimSun" w:eastAsia="SimSun" w:cs="SimSun"/>
          <w:sz w:val="17"/>
          <w:szCs w:val="17"/>
          <w:color w:val="333333"/>
          <w:spacing w:val="2"/>
        </w:rPr>
        <w:t>实务指导，着力解决会计人员学习不及时、理解有偏差、操作不规范等问题，切实提高政府会计准则制度实施的全面和有效性。一</w:t>
      </w:r>
      <w:r>
        <w:rPr>
          <w:rFonts w:ascii="SimSun" w:hAnsi="SimSun" w:eastAsia="SimSun" w:cs="SimSun"/>
          <w:sz w:val="17"/>
          <w:szCs w:val="17"/>
          <w:color w:val="333333"/>
          <w:spacing w:val="35"/>
        </w:rPr>
        <w:t> </w:t>
      </w:r>
      <w:r>
        <w:rPr>
          <w:rFonts w:ascii="SimSun" w:hAnsi="SimSun" w:eastAsia="SimSun" w:cs="SimSun"/>
          <w:sz w:val="17"/>
          <w:szCs w:val="17"/>
          <w:color w:val="333333"/>
          <w:spacing w:val="2"/>
        </w:rPr>
        <w:t>是加强培训。按年度设置培训计划，通过线上培训等方式扩大培训范围，积极支持各级财政部门和有关行业主管部门开展政府会计</w:t>
      </w:r>
      <w:r>
        <w:rPr>
          <w:rFonts w:ascii="SimSun" w:hAnsi="SimSun" w:eastAsia="SimSun" w:cs="SimSun"/>
          <w:sz w:val="17"/>
          <w:szCs w:val="17"/>
          <w:color w:val="333333"/>
          <w:spacing w:val="35"/>
        </w:rPr>
        <w:t> </w:t>
      </w:r>
      <w:r>
        <w:rPr>
          <w:rFonts w:ascii="SimSun" w:hAnsi="SimSun" w:eastAsia="SimSun" w:cs="SimSun"/>
          <w:sz w:val="17"/>
          <w:szCs w:val="17"/>
          <w:color w:val="333333"/>
          <w:spacing w:val="2"/>
        </w:rPr>
        <w:t>准则制度培训工作。二是加强宣传。以会计司有关负责人答记者问的形式及时对有关新准则制度进行解读，加深会计人员对准则制</w:t>
      </w:r>
      <w:r>
        <w:rPr>
          <w:rFonts w:ascii="SimSun" w:hAnsi="SimSun" w:eastAsia="SimSun" w:cs="SimSun"/>
          <w:sz w:val="17"/>
          <w:szCs w:val="17"/>
          <w:color w:val="333333"/>
          <w:spacing w:val="35"/>
        </w:rPr>
        <w:t> </w:t>
      </w:r>
      <w:r>
        <w:rPr>
          <w:rFonts w:ascii="SimSun" w:hAnsi="SimSun" w:eastAsia="SimSun" w:cs="SimSun"/>
          <w:sz w:val="17"/>
          <w:szCs w:val="17"/>
          <w:color w:val="333333"/>
        </w:rPr>
        <w:t>度的理解；</w:t>
      </w:r>
      <w:r>
        <w:rPr>
          <w:rFonts w:ascii="SimSun" w:hAnsi="SimSun" w:eastAsia="SimSun" w:cs="SimSun"/>
          <w:sz w:val="17"/>
          <w:szCs w:val="17"/>
          <w:color w:val="333333"/>
          <w:spacing w:val="64"/>
        </w:rPr>
        <w:t> </w:t>
      </w:r>
      <w:r>
        <w:rPr>
          <w:rFonts w:ascii="SimSun" w:hAnsi="SimSun" w:eastAsia="SimSun" w:cs="SimSun"/>
          <w:sz w:val="17"/>
          <w:szCs w:val="17"/>
          <w:color w:val="333333"/>
        </w:rPr>
        <w:t>总结提炼政府会计准则制度实施过程中的典型案例和先进经验，通过会计司官网、报刊杂志等媒体进行宣传，为部门单</w:t>
      </w:r>
      <w:r>
        <w:rPr>
          <w:rFonts w:ascii="SimSun" w:hAnsi="SimSun" w:eastAsia="SimSun" w:cs="SimSun"/>
          <w:sz w:val="17"/>
          <w:szCs w:val="17"/>
          <w:color w:val="333333"/>
        </w:rPr>
        <w:t> </w:t>
      </w:r>
      <w:r>
        <w:rPr>
          <w:rFonts w:ascii="SimSun" w:hAnsi="SimSun" w:eastAsia="SimSun" w:cs="SimSun"/>
          <w:sz w:val="17"/>
          <w:szCs w:val="17"/>
          <w:color w:val="333333"/>
          <w:spacing w:val="2"/>
        </w:rPr>
        <w:t>位加强政府会计工作提供参考和借鉴。三是加强调研。通过书面调研、实地调研等方式及时了解准则制度实施过程中的问题，根据</w:t>
      </w:r>
      <w:r>
        <w:rPr>
          <w:rFonts w:ascii="SimSun" w:hAnsi="SimSun" w:eastAsia="SimSun" w:cs="SimSun"/>
          <w:sz w:val="17"/>
          <w:szCs w:val="17"/>
          <w:color w:val="333333"/>
          <w:spacing w:val="35"/>
        </w:rPr>
        <w:t> </w:t>
      </w:r>
      <w:r>
        <w:rPr>
          <w:rFonts w:ascii="SimSun" w:hAnsi="SimSun" w:eastAsia="SimSun" w:cs="SimSun"/>
          <w:sz w:val="17"/>
          <w:szCs w:val="17"/>
          <w:color w:val="333333"/>
          <w:spacing w:val="2"/>
        </w:rPr>
        <w:t>实务需要适时发布有关应用案例和实施问答，设置具体业务场景，帮助会计人员正确理解、使用会计准则制度。四是加强指导。对</w:t>
      </w:r>
      <w:r>
        <w:rPr>
          <w:rFonts w:ascii="SimSun" w:hAnsi="SimSun" w:eastAsia="SimSun" w:cs="SimSun"/>
          <w:sz w:val="17"/>
          <w:szCs w:val="17"/>
          <w:color w:val="333333"/>
          <w:spacing w:val="35"/>
        </w:rPr>
        <w:t> </w:t>
      </w:r>
      <w:r>
        <w:rPr>
          <w:rFonts w:ascii="SimSun" w:hAnsi="SimSun" w:eastAsia="SimSun" w:cs="SimSun"/>
          <w:sz w:val="17"/>
          <w:szCs w:val="17"/>
          <w:color w:val="333333"/>
        </w:rPr>
        <w:t>于有关特殊行业因体制机制等问题影响政府会计准则制度实施的，会同有关行业主管部门进行针对性地指导；</w:t>
      </w:r>
      <w:r>
        <w:rPr>
          <w:rFonts w:ascii="SimSun" w:hAnsi="SimSun" w:eastAsia="SimSun" w:cs="SimSun"/>
          <w:sz w:val="17"/>
          <w:szCs w:val="17"/>
          <w:color w:val="333333"/>
          <w:spacing w:val="64"/>
        </w:rPr>
        <w:t> </w:t>
      </w:r>
      <w:r>
        <w:rPr>
          <w:rFonts w:ascii="SimSun" w:hAnsi="SimSun" w:eastAsia="SimSun" w:cs="SimSun"/>
          <w:sz w:val="17"/>
          <w:szCs w:val="17"/>
          <w:color w:val="333333"/>
        </w:rPr>
        <w:t>对于县级及以下单位</w:t>
      </w:r>
      <w:r>
        <w:rPr>
          <w:rFonts w:ascii="SimSun" w:hAnsi="SimSun" w:eastAsia="SimSun" w:cs="SimSun"/>
          <w:sz w:val="17"/>
          <w:szCs w:val="17"/>
          <w:color w:val="333333"/>
        </w:rPr>
        <w:t> </w:t>
      </w:r>
      <w:r>
        <w:rPr>
          <w:rFonts w:ascii="SimSun" w:hAnsi="SimSun" w:eastAsia="SimSun" w:cs="SimSun"/>
          <w:sz w:val="17"/>
          <w:szCs w:val="17"/>
          <w:color w:val="333333"/>
          <w:spacing w:val="1"/>
        </w:rPr>
        <w:t>存在的实施问题，积极指导地方财政部门通过预算管理一体化建设等手段帮助基层单位做好准则制度实施工作。</w:t>
      </w:r>
    </w:p>
    <w:p>
      <w:pPr>
        <w:ind w:left="1043" w:right="1016" w:firstLine="350"/>
        <w:spacing w:before="109" w:line="327" w:lineRule="auto"/>
        <w:rPr>
          <w:rFonts w:ascii="SimSun" w:hAnsi="SimSun" w:eastAsia="SimSun" w:cs="SimSun"/>
          <w:sz w:val="17"/>
          <w:szCs w:val="17"/>
        </w:rPr>
      </w:pPr>
      <w:r>
        <w:rPr>
          <w:rFonts w:ascii="SimSun" w:hAnsi="SimSun" w:eastAsia="SimSun" w:cs="SimSun"/>
          <w:sz w:val="17"/>
          <w:szCs w:val="17"/>
          <w:color w:val="333333"/>
          <w:spacing w:val="2"/>
        </w:rPr>
        <w:t>7.健全完善政府会计准则制度建设与实施机制。一是根据工作需要调整政府会计准则委员会组成人员，适时编发简报，继续发</w:t>
      </w:r>
      <w:r>
        <w:rPr>
          <w:rFonts w:ascii="SimSun" w:hAnsi="SimSun" w:eastAsia="SimSun" w:cs="SimSun"/>
          <w:sz w:val="17"/>
          <w:szCs w:val="17"/>
          <w:color w:val="333333"/>
          <w:spacing w:val="27"/>
        </w:rPr>
        <w:t> </w:t>
      </w:r>
      <w:r>
        <w:rPr>
          <w:rFonts w:ascii="SimSun" w:hAnsi="SimSun" w:eastAsia="SimSun" w:cs="SimSun"/>
          <w:sz w:val="17"/>
          <w:szCs w:val="17"/>
          <w:color w:val="333333"/>
          <w:spacing w:val="2"/>
        </w:rPr>
        <w:t>挥委员会在准则制度建设和实施中的协调机制作用。二是做好政府会计准则委员会咨询专家选聘和日常管理、评价工作，完善工作</w:t>
      </w:r>
      <w:r>
        <w:rPr>
          <w:rFonts w:ascii="SimSun" w:hAnsi="SimSun" w:eastAsia="SimSun" w:cs="SimSun"/>
          <w:sz w:val="17"/>
          <w:szCs w:val="17"/>
          <w:color w:val="333333"/>
          <w:spacing w:val="35"/>
        </w:rPr>
        <w:t> </w:t>
      </w:r>
      <w:r>
        <w:rPr>
          <w:rFonts w:ascii="SimSun" w:hAnsi="SimSun" w:eastAsia="SimSun" w:cs="SimSun"/>
          <w:sz w:val="17"/>
          <w:szCs w:val="17"/>
          <w:color w:val="333333"/>
          <w:spacing w:val="2"/>
        </w:rPr>
        <w:t>机制，充分发挥咨询专家的“智库”作用。三是调整充实政府会计准则制度建设和实施工作联系点单位，加强调研和互动，充分发</w:t>
      </w:r>
      <w:r>
        <w:rPr>
          <w:rFonts w:ascii="SimSun" w:hAnsi="SimSun" w:eastAsia="SimSun" w:cs="SimSun"/>
          <w:sz w:val="17"/>
          <w:szCs w:val="17"/>
          <w:color w:val="333333"/>
          <w:spacing w:val="35"/>
        </w:rPr>
        <w:t> </w:t>
      </w:r>
      <w:r>
        <w:rPr>
          <w:rFonts w:ascii="SimSun" w:hAnsi="SimSun" w:eastAsia="SimSun" w:cs="SimSun"/>
          <w:sz w:val="17"/>
          <w:szCs w:val="17"/>
          <w:color w:val="333333"/>
          <w:spacing w:val="2"/>
        </w:rPr>
        <w:t>挥联系点单位的辐射引领作用。四是建立政府会计准则制度建设和实施部门沟通联系机制，合力推进准则制度在各部门、各行业领</w:t>
      </w:r>
      <w:r>
        <w:rPr>
          <w:rFonts w:ascii="SimSun" w:hAnsi="SimSun" w:eastAsia="SimSun" w:cs="SimSun"/>
          <w:sz w:val="17"/>
          <w:szCs w:val="17"/>
          <w:color w:val="333333"/>
          <w:spacing w:val="35"/>
        </w:rPr>
        <w:t> </w:t>
      </w:r>
      <w:r>
        <w:rPr>
          <w:rFonts w:ascii="SimSun" w:hAnsi="SimSun" w:eastAsia="SimSun" w:cs="SimSun"/>
          <w:sz w:val="17"/>
          <w:szCs w:val="17"/>
          <w:color w:val="333333"/>
          <w:spacing w:val="2"/>
        </w:rPr>
        <w:t>域全面有效实施。五是加强与各地会计管理机构的沟通与联系，积极指导各地做好准则制度实施工作。通过上述措施，形成部门紧</w:t>
      </w:r>
      <w:r>
        <w:rPr>
          <w:rFonts w:ascii="SimSun" w:hAnsi="SimSun" w:eastAsia="SimSun" w:cs="SimSun"/>
          <w:sz w:val="17"/>
          <w:szCs w:val="17"/>
          <w:color w:val="333333"/>
          <w:spacing w:val="35"/>
        </w:rPr>
        <w:t> </w:t>
      </w:r>
      <w:r>
        <w:rPr>
          <w:rFonts w:ascii="SimSun" w:hAnsi="SimSun" w:eastAsia="SimSun" w:cs="SimSun"/>
          <w:sz w:val="17"/>
          <w:szCs w:val="17"/>
          <w:color w:val="333333"/>
          <w:spacing w:val="1"/>
        </w:rPr>
        <w:t>密协作、财政上下联动、单位点面结合、社会广泛参与的政府会计准则制度建设与实施机制。</w:t>
      </w:r>
    </w:p>
    <w:p>
      <w:pPr>
        <w:ind w:firstLine="1394"/>
        <w:spacing w:before="107" w:line="187" w:lineRule="auto"/>
        <w:rPr>
          <w:rFonts w:ascii="SimSun" w:hAnsi="SimSun" w:eastAsia="SimSun" w:cs="SimSun"/>
          <w:sz w:val="17"/>
          <w:szCs w:val="17"/>
        </w:rPr>
      </w:pPr>
      <w:r>
        <w:rPr>
          <w:rFonts w:ascii="SimSun" w:hAnsi="SimSun" w:eastAsia="SimSun" w:cs="SimSun"/>
          <w:sz w:val="17"/>
          <w:szCs w:val="17"/>
          <w:color w:val="333333"/>
        </w:rPr>
        <w:t>（二）适应非营利组织改革发展需要，修订完善非营利组织会计制度。</w:t>
      </w:r>
    </w:p>
    <w:p>
      <w:pPr>
        <w:ind w:left="1044" w:right="1016" w:firstLine="358"/>
        <w:spacing w:before="238" w:line="327" w:lineRule="auto"/>
        <w:rPr>
          <w:rFonts w:ascii="SimSun" w:hAnsi="SimSun" w:eastAsia="SimSun" w:cs="SimSun"/>
          <w:sz w:val="17"/>
          <w:szCs w:val="17"/>
        </w:rPr>
      </w:pPr>
      <w:r>
        <w:rPr>
          <w:rFonts w:ascii="SimSun" w:hAnsi="SimSun" w:eastAsia="SimSun" w:cs="SimSun"/>
          <w:sz w:val="17"/>
          <w:szCs w:val="17"/>
          <w:color w:val="333333"/>
        </w:rPr>
        <w:t>1.修订《民间非营利组织会计制度》</w:t>
      </w:r>
      <w:r>
        <w:rPr>
          <w:rFonts w:ascii="SimSun" w:hAnsi="SimSun" w:eastAsia="SimSun" w:cs="SimSun"/>
          <w:sz w:val="17"/>
          <w:szCs w:val="17"/>
          <w:color w:val="333333"/>
          <w:spacing w:val="45"/>
        </w:rPr>
        <w:t> </w:t>
      </w:r>
      <w:r>
        <w:rPr>
          <w:rFonts w:ascii="SimSun" w:hAnsi="SimSun" w:eastAsia="SimSun" w:cs="SimSun"/>
          <w:sz w:val="17"/>
          <w:szCs w:val="17"/>
          <w:color w:val="333333"/>
        </w:rPr>
        <w:t>。在充分梳理相关法律法规要求，听取有关主管部门、各类民非组织意见建议，借鉴国际</w:t>
      </w:r>
      <w:r>
        <w:rPr>
          <w:rFonts w:ascii="SimSun" w:hAnsi="SimSun" w:eastAsia="SimSun" w:cs="SimSun"/>
          <w:sz w:val="17"/>
          <w:szCs w:val="17"/>
          <w:color w:val="333333"/>
        </w:rPr>
        <w:t> </w:t>
      </w:r>
      <w:r>
        <w:rPr>
          <w:rFonts w:ascii="SimSun" w:hAnsi="SimSun" w:eastAsia="SimSun" w:cs="SimSun"/>
          <w:sz w:val="17"/>
          <w:szCs w:val="17"/>
          <w:color w:val="333333"/>
          <w:spacing w:val="-1"/>
        </w:rPr>
        <w:t>先进经验基础上，稳步有序推进《民非制度》</w:t>
      </w:r>
      <w:r>
        <w:rPr>
          <w:rFonts w:ascii="SimSun" w:hAnsi="SimSun" w:eastAsia="SimSun" w:cs="SimSun"/>
          <w:sz w:val="17"/>
          <w:szCs w:val="17"/>
          <w:color w:val="333333"/>
          <w:spacing w:val="38"/>
        </w:rPr>
        <w:t> </w:t>
      </w:r>
      <w:r>
        <w:rPr>
          <w:rFonts w:ascii="SimSun" w:hAnsi="SimSun" w:eastAsia="SimSun" w:cs="SimSun"/>
          <w:sz w:val="17"/>
          <w:szCs w:val="17"/>
          <w:color w:val="333333"/>
          <w:spacing w:val="-1"/>
        </w:rPr>
        <w:t>修订和实施工作。2021年组织召开《民非制度》</w:t>
      </w:r>
      <w:r>
        <w:rPr>
          <w:rFonts w:ascii="SimSun" w:hAnsi="SimSun" w:eastAsia="SimSun" w:cs="SimSun"/>
          <w:sz w:val="17"/>
          <w:szCs w:val="17"/>
          <w:color w:val="333333"/>
          <w:spacing w:val="-1"/>
        </w:rPr>
        <w:t> </w:t>
      </w:r>
      <w:r>
        <w:rPr>
          <w:rFonts w:ascii="SimSun" w:hAnsi="SimSun" w:eastAsia="SimSun" w:cs="SimSun"/>
          <w:sz w:val="17"/>
          <w:szCs w:val="17"/>
          <w:color w:val="333333"/>
          <w:spacing w:val="-1"/>
        </w:rPr>
        <w:t>修订座谈会，建立包括主管部门、民</w:t>
      </w:r>
      <w:r>
        <w:rPr>
          <w:rFonts w:ascii="SimSun" w:hAnsi="SimSun" w:eastAsia="SimSun" w:cs="SimSun"/>
          <w:sz w:val="17"/>
          <w:szCs w:val="17"/>
          <w:color w:val="333333"/>
        </w:rPr>
        <w:t> </w:t>
      </w:r>
      <w:r>
        <w:rPr>
          <w:rFonts w:ascii="SimSun" w:hAnsi="SimSun" w:eastAsia="SimSun" w:cs="SimSun"/>
          <w:sz w:val="17"/>
          <w:szCs w:val="17"/>
          <w:color w:val="333333"/>
          <w:spacing w:val="2"/>
        </w:rPr>
        <w:t>非组织、中介机构和研究机构等在内的工作团队，正式启动修订工作。2022年充分开展调查研究，通过组织研究课题、广泛开展实</w:t>
      </w:r>
      <w:r>
        <w:rPr>
          <w:rFonts w:ascii="SimSun" w:hAnsi="SimSun" w:eastAsia="SimSun" w:cs="SimSun"/>
          <w:sz w:val="17"/>
          <w:szCs w:val="17"/>
          <w:color w:val="333333"/>
          <w:spacing w:val="30"/>
        </w:rPr>
        <w:t> </w:t>
      </w:r>
      <w:r>
        <w:rPr>
          <w:rFonts w:ascii="SimSun" w:hAnsi="SimSun" w:eastAsia="SimSun" w:cs="SimSun"/>
          <w:sz w:val="17"/>
          <w:szCs w:val="17"/>
          <w:color w:val="333333"/>
          <w:spacing w:val="1"/>
        </w:rPr>
        <w:t>地调研和组织座谈等方式，充分了解制度执行情况和会计核算需求，研究形成《民非制度》</w:t>
      </w:r>
      <w:r>
        <w:rPr>
          <w:rFonts w:ascii="SimSun" w:hAnsi="SimSun" w:eastAsia="SimSun" w:cs="SimSun"/>
          <w:sz w:val="17"/>
          <w:szCs w:val="17"/>
          <w:color w:val="333333"/>
          <w:spacing w:val="4"/>
        </w:rPr>
        <w:t> </w:t>
      </w:r>
      <w:r>
        <w:rPr>
          <w:rFonts w:ascii="SimSun" w:hAnsi="SimSun" w:eastAsia="SimSun" w:cs="SimSun"/>
          <w:sz w:val="17"/>
          <w:szCs w:val="17"/>
          <w:color w:val="333333"/>
          <w:spacing w:val="1"/>
        </w:rPr>
        <w:t>修订征求意见稿。2023年就征求意见稿</w:t>
      </w:r>
    </w:p>
    <w:p>
      <w:pPr>
        <w:spacing w:line="355"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kjs.mof.gov.cn/zhengcejiedu/202112/t20211230_3779801.htm</w:t>
      </w:r>
      <w:r>
        <w:rPr>
          <w:rFonts w:ascii="Arial" w:hAnsi="Arial" w:eastAsia="Arial" w:cs="Arial"/>
          <w:sz w:val="16"/>
          <w:szCs w:val="16"/>
        </w:rPr>
        <w:t>                                                                                                                                            </w:t>
      </w:r>
      <w:r>
        <w:rPr>
          <w:rFonts w:ascii="Arial" w:hAnsi="Arial" w:eastAsia="Arial" w:cs="Arial"/>
          <w:sz w:val="16"/>
          <w:szCs w:val="16"/>
          <w:spacing w:val="-1"/>
        </w:rPr>
        <w:t>3/5</w:t>
      </w:r>
    </w:p>
    <w:p>
      <w:pPr>
        <w:sectPr>
          <w:pgSz w:w="11900" w:h="16839"/>
          <w:pgMar w:top="0" w:right="0" w:bottom="0" w:left="0" w:header="0" w:footer="0" w:gutter="0"/>
        </w:sectPr>
        <w:rPr/>
      </w:pPr>
    </w:p>
    <w:p>
      <w:pPr>
        <w:ind w:firstLine="533"/>
        <w:spacing w:line="204" w:lineRule="auto"/>
        <w:rPr>
          <w:rFonts w:ascii="Microsoft YaHei" w:hAnsi="Microsoft YaHei" w:eastAsia="Microsoft YaHei" w:cs="Microsoft YaHei"/>
          <w:sz w:val="16"/>
          <w:szCs w:val="16"/>
        </w:rPr>
      </w:pPr>
      <w:r>
        <w:rPr>
          <w:rFonts w:ascii="Arial" w:hAnsi="Arial" w:eastAsia="Arial" w:cs="Arial"/>
          <w:sz w:val="16"/>
          <w:szCs w:val="16"/>
          <w:spacing w:val="-2"/>
          <w:position w:val="1"/>
        </w:rPr>
        <w:t>2022/4/27</w:t>
      </w:r>
      <w:r>
        <w:rPr>
          <w:rFonts w:ascii="Arial" w:hAnsi="Arial" w:eastAsia="Arial" w:cs="Arial"/>
          <w:sz w:val="16"/>
          <w:szCs w:val="16"/>
          <w:spacing w:val="1"/>
          <w:w w:val="102"/>
          <w:position w:val="1"/>
        </w:rPr>
        <w:t>                                </w:t>
      </w:r>
      <w:r>
        <w:rPr>
          <w:rFonts w:ascii="Microsoft YaHei" w:hAnsi="Microsoft YaHei" w:eastAsia="Microsoft YaHei" w:cs="Microsoft YaHei"/>
          <w:sz w:val="16"/>
          <w:szCs w:val="16"/>
          <w:spacing w:val="-2"/>
        </w:rPr>
        <w:t>深化政府及非营利组织会计改革</w:t>
      </w:r>
      <w:r>
        <w:rPr>
          <w:rFonts w:ascii="Microsoft YaHei" w:hAnsi="Microsoft YaHei" w:eastAsia="Microsoft YaHei" w:cs="Microsoft YaHei"/>
          <w:sz w:val="16"/>
          <w:szCs w:val="16"/>
          <w:spacing w:val="1"/>
        </w:rPr>
        <w:t> </w:t>
      </w:r>
      <w:r>
        <w:rPr>
          <w:rFonts w:ascii="Microsoft YaHei" w:hAnsi="Microsoft YaHei" w:eastAsia="Microsoft YaHei" w:cs="Microsoft YaHei"/>
          <w:sz w:val="16"/>
          <w:szCs w:val="16"/>
          <w:spacing w:val="-2"/>
        </w:rPr>
        <w:t>夯实现代财政制度基础</w:t>
      </w:r>
      <w:r>
        <w:rPr>
          <w:rFonts w:ascii="Arial" w:hAnsi="Arial" w:eastAsia="Arial" w:cs="Arial"/>
          <w:sz w:val="16"/>
          <w:szCs w:val="16"/>
          <w:spacing w:val="-2"/>
        </w:rPr>
        <w:t>——</w:t>
      </w:r>
      <w:r>
        <w:rPr>
          <w:rFonts w:ascii="Arial" w:hAnsi="Arial" w:eastAsia="Arial" w:cs="Arial"/>
          <w:sz w:val="16"/>
          <w:szCs w:val="16"/>
          <w:spacing w:val="33"/>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规划纲要》系列解读之二</w:t>
      </w:r>
    </w:p>
    <w:p>
      <w:pPr>
        <w:ind w:firstLine="1061"/>
        <w:spacing w:before="119" w:line="187" w:lineRule="auto"/>
        <w:rPr>
          <w:rFonts w:ascii="SimSun" w:hAnsi="SimSun" w:eastAsia="SimSun" w:cs="SimSun"/>
          <w:sz w:val="17"/>
          <w:szCs w:val="17"/>
        </w:rPr>
      </w:pPr>
      <w:r>
        <w:rPr>
          <w:rFonts w:ascii="SimSun" w:hAnsi="SimSun" w:eastAsia="SimSun" w:cs="SimSun"/>
          <w:sz w:val="17"/>
          <w:szCs w:val="17"/>
          <w:color w:val="333333"/>
        </w:rPr>
        <w:t>向社会公开征求意见，根据反馈意见修改完善后修订印发《民非制度》</w:t>
      </w:r>
      <w:r>
        <w:rPr>
          <w:rFonts w:ascii="SimSun" w:hAnsi="SimSun" w:eastAsia="SimSun" w:cs="SimSun"/>
          <w:sz w:val="17"/>
          <w:szCs w:val="17"/>
          <w:color w:val="333333"/>
          <w:spacing w:val="46"/>
        </w:rPr>
        <w:t> </w:t>
      </w:r>
      <w:r>
        <w:rPr>
          <w:rFonts w:ascii="SimSun" w:hAnsi="SimSun" w:eastAsia="SimSun" w:cs="SimSun"/>
          <w:sz w:val="17"/>
          <w:szCs w:val="17"/>
          <w:color w:val="333333"/>
        </w:rPr>
        <w:t>，配套出台制度新旧衔接规定，并做好宣传培训、政策解读</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1"/>
        </w:rPr>
        <w:t>等工作。2024年会同有关主管部门做好修订后《民非制度》的贯彻实施工作，及时回应执行过程中的问题。</w:t>
      </w:r>
    </w:p>
    <w:p>
      <w:pPr>
        <w:ind w:firstLine="1391"/>
        <w:spacing w:before="236" w:line="187" w:lineRule="auto"/>
        <w:rPr>
          <w:rFonts w:ascii="SimSun" w:hAnsi="SimSun" w:eastAsia="SimSun" w:cs="SimSun"/>
          <w:sz w:val="17"/>
          <w:szCs w:val="17"/>
        </w:rPr>
      </w:pPr>
      <w:r>
        <w:rPr>
          <w:rFonts w:ascii="SimSun" w:hAnsi="SimSun" w:eastAsia="SimSun" w:cs="SimSun"/>
          <w:sz w:val="17"/>
          <w:szCs w:val="17"/>
          <w:color w:val="333333"/>
        </w:rPr>
        <w:t>2.修订《工会会计制度》</w:t>
      </w:r>
      <w:r>
        <w:rPr>
          <w:rFonts w:ascii="SimSun" w:hAnsi="SimSun" w:eastAsia="SimSun" w:cs="SimSun"/>
          <w:sz w:val="17"/>
          <w:szCs w:val="17"/>
          <w:color w:val="333333"/>
          <w:spacing w:val="56"/>
        </w:rPr>
        <w:t> </w:t>
      </w:r>
      <w:r>
        <w:rPr>
          <w:rFonts w:ascii="SimSun" w:hAnsi="SimSun" w:eastAsia="SimSun" w:cs="SimSun"/>
          <w:sz w:val="17"/>
          <w:szCs w:val="17"/>
          <w:color w:val="333333"/>
        </w:rPr>
        <w:t>。结合工会组织财务管理体制改革要求、工会会计实务发展现状和会计信息使用需求，会同全国总工</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rPr>
        <w:t>会对各级工会组织广泛开展调研及座谈，确定《工会会计制度》</w:t>
      </w:r>
      <w:r>
        <w:rPr>
          <w:rFonts w:ascii="SimSun" w:hAnsi="SimSun" w:eastAsia="SimSun" w:cs="SimSun"/>
          <w:sz w:val="17"/>
          <w:szCs w:val="17"/>
          <w:color w:val="333333"/>
          <w:spacing w:val="64"/>
        </w:rPr>
        <w:t> </w:t>
      </w:r>
      <w:r>
        <w:rPr>
          <w:rFonts w:ascii="SimSun" w:hAnsi="SimSun" w:eastAsia="SimSun" w:cs="SimSun"/>
          <w:sz w:val="17"/>
          <w:szCs w:val="17"/>
          <w:color w:val="333333"/>
        </w:rPr>
        <w:t>的修订方向及具体方案，在广泛征求各方意见的基础上，修订印发</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rPr>
        <w:t>《工会会计制度》</w:t>
      </w:r>
      <w:r>
        <w:rPr>
          <w:rFonts w:ascii="SimSun" w:hAnsi="SimSun" w:eastAsia="SimSun" w:cs="SimSun"/>
          <w:sz w:val="17"/>
          <w:szCs w:val="17"/>
          <w:color w:val="333333"/>
          <w:spacing w:val="61"/>
          <w:w w:val="101"/>
        </w:rPr>
        <w:t> </w:t>
      </w:r>
      <w:r>
        <w:rPr>
          <w:rFonts w:ascii="SimSun" w:hAnsi="SimSun" w:eastAsia="SimSun" w:cs="SimSun"/>
          <w:sz w:val="17"/>
          <w:szCs w:val="17"/>
          <w:color w:val="333333"/>
        </w:rPr>
        <w:t>。制定发布工会新旧会计制度的衔接规定，选取部分工会开展新旧衔接模拟测试，确保新旧制度衔接顺畅、过度</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rPr>
        <w:t>平稳。会同全国总工会印发贯彻实施《工会会计制度》</w:t>
      </w:r>
      <w:r>
        <w:rPr>
          <w:rFonts w:ascii="SimSun" w:hAnsi="SimSun" w:eastAsia="SimSun" w:cs="SimSun"/>
          <w:sz w:val="17"/>
          <w:szCs w:val="17"/>
          <w:color w:val="333333"/>
          <w:spacing w:val="64"/>
        </w:rPr>
        <w:t> </w:t>
      </w:r>
      <w:r>
        <w:rPr>
          <w:rFonts w:ascii="SimSun" w:hAnsi="SimSun" w:eastAsia="SimSun" w:cs="SimSun"/>
          <w:sz w:val="17"/>
          <w:szCs w:val="17"/>
          <w:color w:val="333333"/>
        </w:rPr>
        <w:t>的通知，指导各级工会组织扎实做好新制度实施的准备工作。加强对新制度</w:t>
      </w:r>
    </w:p>
    <w:p>
      <w:pPr>
        <w:ind w:firstLine="1058"/>
        <w:spacing w:before="129" w:line="187" w:lineRule="auto"/>
        <w:rPr>
          <w:rFonts w:ascii="SimSun" w:hAnsi="SimSun" w:eastAsia="SimSun" w:cs="SimSun"/>
          <w:sz w:val="17"/>
          <w:szCs w:val="17"/>
        </w:rPr>
      </w:pPr>
      <w:r>
        <w:rPr>
          <w:rFonts w:ascii="SimSun" w:hAnsi="SimSun" w:eastAsia="SimSun" w:cs="SimSun"/>
          <w:sz w:val="17"/>
          <w:szCs w:val="17"/>
          <w:color w:val="333333"/>
          <w:spacing w:val="2"/>
        </w:rPr>
        <w:t>的政策解读和宣传培训，积极指导各级财政部门和工会组织开展的培训工作，使各级工会财会干部尽快熟悉和掌握新制度。持续跟</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踪《工会会计制度》实施情况，及时研究和回应制度实施过程中发现的问题。</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rPr>
        <w:t>（三）进一步建立健全基金（资金）类会计标准，满足改革发展需要。</w:t>
      </w:r>
    </w:p>
    <w:p>
      <w:pPr>
        <w:ind w:firstLine="1402"/>
        <w:spacing w:before="237" w:line="187" w:lineRule="auto"/>
        <w:rPr>
          <w:rFonts w:ascii="SimSun" w:hAnsi="SimSun" w:eastAsia="SimSun" w:cs="SimSun"/>
          <w:sz w:val="17"/>
          <w:szCs w:val="17"/>
        </w:rPr>
      </w:pPr>
      <w:r>
        <w:rPr>
          <w:rFonts w:ascii="SimSun" w:hAnsi="SimSun" w:eastAsia="SimSun" w:cs="SimSun"/>
          <w:sz w:val="17"/>
          <w:szCs w:val="17"/>
          <w:color w:val="333333"/>
          <w:spacing w:val="2"/>
        </w:rPr>
        <w:t>1.制定机关事业单位职业年金基金相关业务会计处理规定。结合职业年金基金相关管理政策规定，在调查了解会计核算现状及</w:t>
      </w:r>
    </w:p>
    <w:p>
      <w:pPr>
        <w:ind w:firstLine="1063"/>
        <w:spacing w:before="129" w:line="187" w:lineRule="auto"/>
        <w:rPr>
          <w:rFonts w:ascii="SimSun" w:hAnsi="SimSun" w:eastAsia="SimSun" w:cs="SimSun"/>
          <w:sz w:val="17"/>
          <w:szCs w:val="17"/>
        </w:rPr>
      </w:pPr>
      <w:r>
        <w:rPr>
          <w:rFonts w:ascii="SimSun" w:hAnsi="SimSun" w:eastAsia="SimSun" w:cs="SimSun"/>
          <w:sz w:val="17"/>
          <w:szCs w:val="17"/>
          <w:color w:val="333333"/>
        </w:rPr>
        <w:t>问题基础上，制定印发《机关事业单位职业年金基金相关业务会计处理规定》</w:t>
      </w:r>
      <w:r>
        <w:rPr>
          <w:rFonts w:ascii="SimSun" w:hAnsi="SimSun" w:eastAsia="SimSun" w:cs="SimSun"/>
          <w:sz w:val="17"/>
          <w:szCs w:val="17"/>
          <w:color w:val="333333"/>
          <w:spacing w:val="42"/>
        </w:rPr>
        <w:t> </w:t>
      </w:r>
      <w:r>
        <w:rPr>
          <w:rFonts w:ascii="SimSun" w:hAnsi="SimSun" w:eastAsia="SimSun" w:cs="SimSun"/>
          <w:sz w:val="17"/>
          <w:szCs w:val="17"/>
          <w:color w:val="333333"/>
        </w:rPr>
        <w:t>，同步做好政策解读。会同人社部门加强宣传培训，</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确保新旧衔接有序进行，推动规定有效实施。持续跟踪规定的执行情况，及时研究和回应实施过程中发现的问题。</w:t>
      </w:r>
    </w:p>
    <w:p>
      <w:pPr>
        <w:ind w:firstLine="1391"/>
        <w:spacing w:before="237" w:line="187" w:lineRule="auto"/>
        <w:rPr>
          <w:rFonts w:ascii="SimSun" w:hAnsi="SimSun" w:eastAsia="SimSun" w:cs="SimSun"/>
          <w:sz w:val="17"/>
          <w:szCs w:val="17"/>
        </w:rPr>
      </w:pPr>
      <w:r>
        <w:rPr>
          <w:rFonts w:ascii="SimSun" w:hAnsi="SimSun" w:eastAsia="SimSun" w:cs="SimSun"/>
          <w:sz w:val="17"/>
          <w:szCs w:val="17"/>
          <w:color w:val="333333"/>
          <w:spacing w:val="-1"/>
        </w:rPr>
        <w:t>2.适时研究修订或制定相关基金（资金）</w:t>
      </w:r>
      <w:r>
        <w:rPr>
          <w:rFonts w:ascii="SimSun" w:hAnsi="SimSun" w:eastAsia="SimSun" w:cs="SimSun"/>
          <w:sz w:val="17"/>
          <w:szCs w:val="17"/>
          <w:color w:val="333333"/>
          <w:spacing w:val="29"/>
        </w:rPr>
        <w:t> </w:t>
      </w:r>
      <w:r>
        <w:rPr>
          <w:rFonts w:ascii="SimSun" w:hAnsi="SimSun" w:eastAsia="SimSun" w:cs="SimSun"/>
          <w:sz w:val="17"/>
          <w:szCs w:val="17"/>
          <w:color w:val="333333"/>
          <w:spacing w:val="-1"/>
        </w:rPr>
        <w:t>会计核算办法。顺应医疗保障制度改革需要，适时对《社会保险基金会计制度》</w:t>
      </w:r>
      <w:r>
        <w:rPr>
          <w:rFonts w:ascii="SimSun" w:hAnsi="SimSun" w:eastAsia="SimSun" w:cs="SimSun"/>
          <w:sz w:val="17"/>
          <w:szCs w:val="17"/>
          <w:color w:val="333333"/>
          <w:spacing w:val="-2"/>
        </w:rPr>
        <w:t> </w:t>
      </w:r>
      <w:r>
        <w:rPr>
          <w:rFonts w:ascii="SimSun" w:hAnsi="SimSun" w:eastAsia="SimSun" w:cs="SimSun"/>
          <w:sz w:val="17"/>
          <w:szCs w:val="17"/>
          <w:color w:val="333333"/>
          <w:spacing w:val="-1"/>
        </w:rPr>
        <w:t>进行</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修订或作出补充规定，进一步明确新增险种、新增业务的会计处理规定。顺应土地储备、住房公积金、道路交通事故社会救助基金</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3"/>
        </w:rPr>
        <w:t>等改革需要，结合有关财务和资产管理规定，适时修订完善《土地储备资金会计核算办法（试行）</w:t>
      </w:r>
      <w:r>
        <w:rPr>
          <w:rFonts w:ascii="SimSun" w:hAnsi="SimSun" w:eastAsia="SimSun" w:cs="SimSun"/>
          <w:sz w:val="17"/>
          <w:szCs w:val="17"/>
          <w:color w:val="333333"/>
          <w:spacing w:val="57"/>
          <w:w w:val="101"/>
        </w:rPr>
        <w:t> </w:t>
      </w:r>
      <w:r>
        <w:rPr>
          <w:rFonts w:ascii="SimSun" w:hAnsi="SimSun" w:eastAsia="SimSun" w:cs="SimSun"/>
          <w:sz w:val="17"/>
          <w:szCs w:val="17"/>
          <w:color w:val="333333"/>
          <w:spacing w:val="3"/>
        </w:rPr>
        <w:t>》、</w:t>
      </w:r>
      <w:r>
        <w:rPr>
          <w:rFonts w:ascii="SimSun" w:hAnsi="SimSun" w:eastAsia="SimSun" w:cs="SimSun"/>
          <w:sz w:val="17"/>
          <w:szCs w:val="17"/>
          <w:color w:val="333333"/>
          <w:spacing w:val="-79"/>
        </w:rPr>
        <w:t> </w:t>
      </w:r>
      <w:r>
        <w:rPr>
          <w:rFonts w:ascii="SimSun" w:hAnsi="SimSun" w:eastAsia="SimSun" w:cs="SimSun"/>
          <w:sz w:val="17"/>
          <w:szCs w:val="17"/>
          <w:color w:val="333333"/>
          <w:spacing w:val="3"/>
        </w:rPr>
        <w:t>《住房公积金会计核算办</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法》</w:t>
      </w:r>
      <w:r>
        <w:rPr>
          <w:rFonts w:ascii="SimSun" w:hAnsi="SimSun" w:eastAsia="SimSun" w:cs="SimSun"/>
          <w:sz w:val="17"/>
          <w:szCs w:val="17"/>
          <w:color w:val="333333"/>
          <w:spacing w:val="39"/>
        </w:rPr>
        <w:t> </w:t>
      </w:r>
      <w:r>
        <w:rPr>
          <w:rFonts w:ascii="SimSun" w:hAnsi="SimSun" w:eastAsia="SimSun" w:cs="SimSun"/>
          <w:sz w:val="17"/>
          <w:szCs w:val="17"/>
          <w:color w:val="333333"/>
          <w:spacing w:val="-1"/>
        </w:rPr>
        <w:t>，制定道路交通事故社会救助基金等会计核算办法。在全面梳理现行基金（资金）</w:t>
      </w:r>
      <w:r>
        <w:rPr>
          <w:rFonts w:ascii="SimSun" w:hAnsi="SimSun" w:eastAsia="SimSun" w:cs="SimSun"/>
          <w:sz w:val="17"/>
          <w:szCs w:val="17"/>
          <w:color w:val="333333"/>
          <w:spacing w:val="-5"/>
        </w:rPr>
        <w:t> </w:t>
      </w:r>
      <w:r>
        <w:rPr>
          <w:rFonts w:ascii="SimSun" w:hAnsi="SimSun" w:eastAsia="SimSun" w:cs="SimSun"/>
          <w:sz w:val="17"/>
          <w:szCs w:val="17"/>
          <w:color w:val="333333"/>
          <w:spacing w:val="-1"/>
        </w:rPr>
        <w:t>类会计核算标准基础上，研究探索建立我国</w:t>
      </w:r>
    </w:p>
    <w:p>
      <w:pPr>
        <w:ind w:firstLine="1048"/>
        <w:spacing w:before="129" w:line="187" w:lineRule="auto"/>
        <w:rPr>
          <w:rFonts w:ascii="SimSun" w:hAnsi="SimSun" w:eastAsia="SimSun" w:cs="SimSun"/>
          <w:sz w:val="17"/>
          <w:szCs w:val="17"/>
        </w:rPr>
      </w:pPr>
      <w:r>
        <w:rPr>
          <w:rFonts w:ascii="SimSun" w:hAnsi="SimSun" w:eastAsia="SimSun" w:cs="SimSun"/>
          <w:sz w:val="17"/>
          <w:szCs w:val="17"/>
          <w:color w:val="333333"/>
          <w:spacing w:val="-1"/>
        </w:rPr>
        <w:t>统一的基金会计标准体系。</w:t>
      </w:r>
    </w:p>
    <w:p>
      <w:pPr>
        <w:ind w:firstLine="1404"/>
        <w:spacing w:before="237" w:line="187" w:lineRule="auto"/>
        <w:rPr>
          <w:rFonts w:ascii="SimSun" w:hAnsi="SimSun" w:eastAsia="SimSun" w:cs="SimSun"/>
          <w:sz w:val="17"/>
          <w:szCs w:val="17"/>
        </w:rPr>
      </w:pPr>
      <w:r>
        <w:rPr>
          <w:rFonts w:ascii="SimSun" w:hAnsi="SimSun" w:eastAsia="SimSun" w:cs="SimSun"/>
          <w:sz w:val="17"/>
          <w:szCs w:val="17"/>
          <w:color w:val="333333"/>
          <w:spacing w:val="11"/>
        </w:rPr>
        <w:t>四、密切配合，确保“十四五”时期各项任务取得实效</w:t>
      </w:r>
    </w:p>
    <w:p>
      <w:pPr>
        <w:ind w:firstLine="1394"/>
        <w:spacing w:before="237" w:line="187" w:lineRule="auto"/>
        <w:rPr>
          <w:rFonts w:ascii="SimSun" w:hAnsi="SimSun" w:eastAsia="SimSun" w:cs="SimSun"/>
          <w:sz w:val="17"/>
          <w:szCs w:val="17"/>
        </w:rPr>
      </w:pPr>
      <w:r>
        <w:rPr>
          <w:rFonts w:ascii="SimSun" w:hAnsi="SimSun" w:eastAsia="SimSun" w:cs="SimSun"/>
          <w:sz w:val="17"/>
          <w:szCs w:val="17"/>
          <w:color w:val="333333"/>
        </w:rPr>
        <w:t>（一）高度重视，压实政府及非营利组织主体责任。</w:t>
      </w:r>
    </w:p>
    <w:p>
      <w:pPr>
        <w:ind w:firstLine="1391"/>
        <w:spacing w:before="236" w:line="187" w:lineRule="auto"/>
        <w:rPr>
          <w:rFonts w:ascii="SimSun" w:hAnsi="SimSun" w:eastAsia="SimSun" w:cs="SimSun"/>
          <w:sz w:val="17"/>
          <w:szCs w:val="17"/>
        </w:rPr>
      </w:pPr>
      <w:r>
        <w:rPr>
          <w:rFonts w:ascii="SimSun" w:hAnsi="SimSun" w:eastAsia="SimSun" w:cs="SimSun"/>
          <w:sz w:val="17"/>
          <w:szCs w:val="17"/>
          <w:color w:val="333333"/>
        </w:rPr>
        <w:t>各级各类行政事业单位和非营利组织负责人要认真落实《中华人民共和国会计法》</w:t>
      </w:r>
      <w:r>
        <w:rPr>
          <w:rFonts w:ascii="SimSun" w:hAnsi="SimSun" w:eastAsia="SimSun" w:cs="SimSun"/>
          <w:sz w:val="17"/>
          <w:szCs w:val="17"/>
          <w:color w:val="333333"/>
          <w:spacing w:val="56"/>
        </w:rPr>
        <w:t> </w:t>
      </w:r>
      <w:r>
        <w:rPr>
          <w:rFonts w:ascii="SimSun" w:hAnsi="SimSun" w:eastAsia="SimSun" w:cs="SimSun"/>
          <w:sz w:val="17"/>
          <w:szCs w:val="17"/>
          <w:color w:val="333333"/>
        </w:rPr>
        <w:t>关于“单位负责人对本单位的会计工作和会</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计资料的真实性、完整性负责”的规定，高度重视本单位的会计工作，积极推进准则制度全面有效贯彻落实。各单位要把建立高素</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质的会计人员队伍摆在重要位置，要完善会计机构、充实会计人员，支持、鼓励本单位会计人员参加培训，及时跟进、认真学习贯</w:t>
      </w:r>
    </w:p>
    <w:p>
      <w:pPr>
        <w:ind w:firstLine="1044"/>
        <w:spacing w:before="130" w:line="187" w:lineRule="auto"/>
        <w:rPr>
          <w:rFonts w:ascii="SimSun" w:hAnsi="SimSun" w:eastAsia="SimSun" w:cs="SimSun"/>
          <w:sz w:val="17"/>
          <w:szCs w:val="17"/>
        </w:rPr>
      </w:pPr>
      <w:r>
        <w:rPr>
          <w:rFonts w:ascii="SimSun" w:hAnsi="SimSun" w:eastAsia="SimSun" w:cs="SimSun"/>
          <w:sz w:val="17"/>
          <w:szCs w:val="17"/>
          <w:color w:val="333333"/>
          <w:spacing w:val="2"/>
        </w:rPr>
        <w:t>彻各项政府及非营利组织会计准则制度，提高会计人员的专业胜任能力。要积极促进业财融合，加强会计核算与预算管理、决算管</w:t>
      </w:r>
    </w:p>
    <w:p>
      <w:pPr>
        <w:ind w:firstLine="1046"/>
        <w:spacing w:before="129" w:line="187" w:lineRule="auto"/>
        <w:rPr>
          <w:rFonts w:ascii="SimSun" w:hAnsi="SimSun" w:eastAsia="SimSun" w:cs="SimSun"/>
          <w:sz w:val="17"/>
          <w:szCs w:val="17"/>
        </w:rPr>
      </w:pPr>
      <w:r>
        <w:rPr>
          <w:rFonts w:ascii="SimSun" w:hAnsi="SimSun" w:eastAsia="SimSun" w:cs="SimSun"/>
          <w:sz w:val="17"/>
          <w:szCs w:val="17"/>
          <w:color w:val="333333"/>
          <w:spacing w:val="2"/>
        </w:rPr>
        <w:t>理、资产管理、政府采购、合同管理和工资发放等数据的连接，推动会计核算为单位管理提供信息支撑。要畅通信息传递渠道，加</w:t>
      </w:r>
    </w:p>
    <w:p>
      <w:pPr>
        <w:ind w:firstLine="1048"/>
        <w:spacing w:before="129" w:line="187" w:lineRule="auto"/>
        <w:rPr>
          <w:rFonts w:ascii="SimSun" w:hAnsi="SimSun" w:eastAsia="SimSun" w:cs="SimSun"/>
          <w:sz w:val="17"/>
          <w:szCs w:val="17"/>
        </w:rPr>
      </w:pPr>
      <w:r>
        <w:rPr>
          <w:rFonts w:ascii="SimSun" w:hAnsi="SimSun" w:eastAsia="SimSun" w:cs="SimSun"/>
          <w:sz w:val="17"/>
          <w:szCs w:val="17"/>
          <w:color w:val="333333"/>
          <w:spacing w:val="1"/>
        </w:rPr>
        <w:t>强会计人员采集业务活动信息的准确性和便捷性，为资产成本确定、单位成本核算等提供数据支撑。</w:t>
      </w:r>
    </w:p>
    <w:p>
      <w:pPr>
        <w:ind w:firstLine="1394"/>
        <w:spacing w:before="236" w:line="187" w:lineRule="auto"/>
        <w:rPr>
          <w:rFonts w:ascii="SimSun" w:hAnsi="SimSun" w:eastAsia="SimSun" w:cs="SimSun"/>
          <w:sz w:val="17"/>
          <w:szCs w:val="17"/>
        </w:rPr>
      </w:pPr>
      <w:r>
        <w:rPr>
          <w:rFonts w:ascii="SimSun" w:hAnsi="SimSun" w:eastAsia="SimSun" w:cs="SimSun"/>
          <w:sz w:val="17"/>
          <w:szCs w:val="17"/>
          <w:color w:val="333333"/>
        </w:rPr>
        <w:t>（二）紧密协作，充分发挥行业主管部门的协调作用。</w:t>
      </w:r>
    </w:p>
    <w:p>
      <w:pPr>
        <w:ind w:firstLine="1396"/>
        <w:spacing w:before="237" w:line="187" w:lineRule="auto"/>
        <w:rPr>
          <w:rFonts w:ascii="SimSun" w:hAnsi="SimSun" w:eastAsia="SimSun" w:cs="SimSun"/>
          <w:sz w:val="17"/>
          <w:szCs w:val="17"/>
        </w:rPr>
      </w:pPr>
      <w:r>
        <w:rPr>
          <w:rFonts w:ascii="SimSun" w:hAnsi="SimSun" w:eastAsia="SimSun" w:cs="SimSun"/>
          <w:sz w:val="17"/>
          <w:szCs w:val="17"/>
          <w:color w:val="333333"/>
          <w:spacing w:val="5"/>
        </w:rPr>
        <w:t>有关行业主管部门要高度重视本行业领域的会计工作，加强与财政部门的沟通协调，积极配合财政部门开展准则制度宣贯工</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作。要结合本行业特定业务场景探索多元化的宣传培训模式，及时总结行业内的先进经验和做法并加以推广，推动会计人员深刻领</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rPr>
        <w:t>会政府及非营利组织会计准则制度的有关规定。要加强对本部门（单位）</w:t>
      </w:r>
      <w:r>
        <w:rPr>
          <w:rFonts w:ascii="SimSun" w:hAnsi="SimSun" w:eastAsia="SimSun" w:cs="SimSun"/>
          <w:sz w:val="17"/>
          <w:szCs w:val="17"/>
          <w:color w:val="333333"/>
          <w:spacing w:val="64"/>
        </w:rPr>
        <w:t> </w:t>
      </w:r>
      <w:r>
        <w:rPr>
          <w:rFonts w:ascii="SimSun" w:hAnsi="SimSun" w:eastAsia="SimSun" w:cs="SimSun"/>
          <w:sz w:val="17"/>
          <w:szCs w:val="17"/>
          <w:color w:val="333333"/>
        </w:rPr>
        <w:t>、本领域政府及非营利组织会计准则制度实施情况的调查</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rPr>
        <w:t>研究，对于本部门（单位）</w:t>
      </w:r>
      <w:r>
        <w:rPr>
          <w:rFonts w:ascii="SimSun" w:hAnsi="SimSun" w:eastAsia="SimSun" w:cs="SimSun"/>
          <w:sz w:val="17"/>
          <w:szCs w:val="17"/>
          <w:color w:val="333333"/>
          <w:spacing w:val="63"/>
        </w:rPr>
        <w:t> </w:t>
      </w:r>
      <w:r>
        <w:rPr>
          <w:rFonts w:ascii="SimSun" w:hAnsi="SimSun" w:eastAsia="SimSun" w:cs="SimSun"/>
          <w:sz w:val="17"/>
          <w:szCs w:val="17"/>
          <w:color w:val="333333"/>
        </w:rPr>
        <w:t>、本领域发现的实施问题，根据问题类型及时回复或反馈财政部会计司进行研究，协力推进政府及非营</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利组织会计准则制度建设。</w:t>
      </w:r>
    </w:p>
    <w:p>
      <w:pPr>
        <w:ind w:firstLine="1394"/>
        <w:spacing w:before="237" w:line="187" w:lineRule="auto"/>
        <w:rPr>
          <w:rFonts w:ascii="SimSun" w:hAnsi="SimSun" w:eastAsia="SimSun" w:cs="SimSun"/>
          <w:sz w:val="17"/>
          <w:szCs w:val="17"/>
        </w:rPr>
      </w:pPr>
      <w:r>
        <w:rPr>
          <w:rFonts w:ascii="SimSun" w:hAnsi="SimSun" w:eastAsia="SimSun" w:cs="SimSun"/>
          <w:sz w:val="17"/>
          <w:szCs w:val="17"/>
          <w:color w:val="333333"/>
        </w:rPr>
        <w:t>（三）上下联动，充分发挥各地财政部门的推动作用。</w:t>
      </w:r>
    </w:p>
    <w:p>
      <w:pPr>
        <w:ind w:firstLine="1388"/>
        <w:spacing w:before="237" w:line="187" w:lineRule="auto"/>
        <w:rPr>
          <w:rFonts w:ascii="SimSun" w:hAnsi="SimSun" w:eastAsia="SimSun" w:cs="SimSun"/>
          <w:sz w:val="17"/>
          <w:szCs w:val="17"/>
        </w:rPr>
      </w:pPr>
      <w:r>
        <w:rPr>
          <w:rFonts w:ascii="SimSun" w:hAnsi="SimSun" w:eastAsia="SimSun" w:cs="SimSun"/>
          <w:sz w:val="17"/>
          <w:szCs w:val="17"/>
          <w:color w:val="333333"/>
          <w:spacing w:val="2"/>
        </w:rPr>
        <w:t>会计准则制度的贯彻实施，离不开各级财政部门特别是会计管理机构的大力推动。省以下各级财政部门要采取切实措施，向社</w:t>
      </w:r>
    </w:p>
    <w:p>
      <w:pPr>
        <w:ind w:firstLine="1043"/>
        <w:spacing w:before="129" w:line="187" w:lineRule="auto"/>
        <w:rPr>
          <w:rFonts w:ascii="SimSun" w:hAnsi="SimSun" w:eastAsia="SimSun" w:cs="SimSun"/>
          <w:sz w:val="17"/>
          <w:szCs w:val="17"/>
        </w:rPr>
      </w:pPr>
      <w:r>
        <w:rPr>
          <w:rFonts w:ascii="SimSun" w:hAnsi="SimSun" w:eastAsia="SimSun" w:cs="SimSun"/>
          <w:sz w:val="17"/>
          <w:szCs w:val="17"/>
          <w:color w:val="333333"/>
          <w:spacing w:val="2"/>
        </w:rPr>
        <w:t>会有关方面广泛宣传依法加强会计工作和遵循国家统一的会计制度的重要意义，引导社会有关方面重视和支持会计工作。要多措并</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举加强宣传培训，及时宣讲政府及非营利组织会计准则制度的制定背景、主要内容等，加强师资力量培养，确保本地区准则制度落</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2"/>
        </w:rPr>
        <w:t>地不留死角、不走形变样。要加强与同级相关主管部门和单位的沟通与协调，以联系机制、工作小组等形式，因地制宜提出在行业</w:t>
      </w:r>
    </w:p>
    <w:p>
      <w:pPr>
        <w:ind w:firstLine="1064"/>
        <w:spacing w:before="129" w:line="187" w:lineRule="auto"/>
        <w:rPr>
          <w:rFonts w:ascii="SimSun" w:hAnsi="SimSun" w:eastAsia="SimSun" w:cs="SimSun"/>
          <w:sz w:val="17"/>
          <w:szCs w:val="17"/>
        </w:rPr>
      </w:pPr>
      <w:r>
        <w:rPr>
          <w:rFonts w:ascii="SimSun" w:hAnsi="SimSun" w:eastAsia="SimSun" w:cs="SimSun"/>
          <w:sz w:val="17"/>
          <w:szCs w:val="17"/>
          <w:color w:val="333333"/>
          <w:spacing w:val="2"/>
        </w:rPr>
        <w:t>内贯彻落实准则制度的方案和举措，齐抓共管形成合力。要加大调查研究和督查力度，及时发现本地区准则制度实施存在的问题，</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5"/>
        </w:rPr>
        <w:t>加强对各单位贯彻实施国家统一的会计制度的督促指导。要加强与财政部会计司的沟通和联系，及时反映准则制度实施情况及问</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题。各地财政部门之间要加强经验交流与分享，互通有无，共同推动会计准则制度全面有效实施。</w:t>
      </w:r>
    </w:p>
    <w:p>
      <w:pPr>
        <w:ind w:firstLine="1394"/>
        <w:spacing w:before="237" w:line="187" w:lineRule="auto"/>
        <w:rPr>
          <w:rFonts w:ascii="SimSun" w:hAnsi="SimSun" w:eastAsia="SimSun" w:cs="SimSun"/>
          <w:sz w:val="17"/>
          <w:szCs w:val="17"/>
        </w:rPr>
      </w:pPr>
      <w:r>
        <w:rPr>
          <w:rFonts w:ascii="SimSun" w:hAnsi="SimSun" w:eastAsia="SimSun" w:cs="SimSun"/>
          <w:sz w:val="17"/>
          <w:szCs w:val="17"/>
          <w:color w:val="333333"/>
        </w:rPr>
        <w:t>（四）社会参与，营造会计准则制度建设实施的良好氛围。</w:t>
      </w:r>
    </w:p>
    <w:p>
      <w:pPr>
        <w:ind w:firstLine="1388"/>
        <w:spacing w:before="237" w:line="187" w:lineRule="auto"/>
        <w:rPr>
          <w:rFonts w:ascii="SimSun" w:hAnsi="SimSun" w:eastAsia="SimSun" w:cs="SimSun"/>
          <w:sz w:val="17"/>
          <w:szCs w:val="17"/>
        </w:rPr>
      </w:pPr>
      <w:r>
        <w:rPr>
          <w:rFonts w:ascii="SimSun" w:hAnsi="SimSun" w:eastAsia="SimSun" w:cs="SimSun"/>
          <w:sz w:val="17"/>
          <w:szCs w:val="17"/>
          <w:color w:val="333333"/>
          <w:spacing w:val="2"/>
        </w:rPr>
        <w:t>政府及非营利组织会计准则制度高质量建设和实施离不开社会各方面的参与和支持。鼓励社会各界积极参与准则制度研究、征</w:t>
      </w:r>
    </w:p>
    <w:p>
      <w:pPr>
        <w:ind w:firstLine="1045"/>
        <w:spacing w:before="129" w:line="187" w:lineRule="auto"/>
        <w:rPr>
          <w:rFonts w:ascii="SimSun" w:hAnsi="SimSun" w:eastAsia="SimSun" w:cs="SimSun"/>
          <w:sz w:val="17"/>
          <w:szCs w:val="17"/>
        </w:rPr>
      </w:pPr>
      <w:r>
        <w:rPr>
          <w:rFonts w:ascii="SimSun" w:hAnsi="SimSun" w:eastAsia="SimSun" w:cs="SimSun"/>
          <w:sz w:val="17"/>
          <w:szCs w:val="17"/>
          <w:color w:val="333333"/>
          <w:spacing w:val="2"/>
        </w:rPr>
        <w:t>求意见、模拟测试、实施等各个阶段，积极反馈问题，提出政策建议。鼓励专家学者、高等学校或研究机构等加强前瞻性的学术研</w:t>
      </w:r>
    </w:p>
    <w:p>
      <w:pPr>
        <w:ind w:firstLine="1052"/>
        <w:spacing w:before="129" w:line="187" w:lineRule="auto"/>
        <w:rPr>
          <w:rFonts w:ascii="SimSun" w:hAnsi="SimSun" w:eastAsia="SimSun" w:cs="SimSun"/>
          <w:sz w:val="17"/>
          <w:szCs w:val="17"/>
        </w:rPr>
      </w:pPr>
      <w:r>
        <w:rPr>
          <w:rFonts w:ascii="SimSun" w:hAnsi="SimSun" w:eastAsia="SimSun" w:cs="SimSun"/>
          <w:sz w:val="17"/>
          <w:szCs w:val="17"/>
          <w:color w:val="333333"/>
          <w:spacing w:val="2"/>
        </w:rPr>
        <w:t>究，突出问题导向，为政府及非营利组织会计改革提供理论支持和政策储备。鼓励社会各界加强对实务经验的总结和分享，发挥辐</w:t>
      </w:r>
    </w:p>
    <w:p>
      <w:pPr>
        <w:ind w:firstLine="1044"/>
        <w:spacing w:before="129" w:line="187" w:lineRule="auto"/>
        <w:rPr>
          <w:rFonts w:ascii="SimSun" w:hAnsi="SimSun" w:eastAsia="SimSun" w:cs="SimSun"/>
          <w:sz w:val="17"/>
          <w:szCs w:val="17"/>
        </w:rPr>
      </w:pPr>
      <w:r>
        <w:rPr>
          <w:rFonts w:ascii="SimSun" w:hAnsi="SimSun" w:eastAsia="SimSun" w:cs="SimSun"/>
          <w:sz w:val="17"/>
          <w:szCs w:val="17"/>
          <w:color w:val="333333"/>
          <w:spacing w:val="1"/>
        </w:rPr>
        <w:t>射引领作用。鼓励各类专家利用工作平台和各种机会宣传准则制度并推动其有效实施，营造准则制度实施的良好氛围。</w:t>
      </w:r>
    </w:p>
    <w:p>
      <w:pPr>
        <w:ind w:firstLine="1039"/>
        <w:spacing w:before="237" w:line="180" w:lineRule="auto"/>
        <w:rPr>
          <w:rFonts w:ascii="Microsoft YaHei" w:hAnsi="Microsoft YaHei" w:eastAsia="Microsoft YaHei" w:cs="Microsoft YaHei"/>
          <w:sz w:val="17"/>
          <w:szCs w:val="17"/>
        </w:rPr>
      </w:pPr>
      <w:r>
        <w:rPr>
          <w:rFonts w:ascii="Microsoft YaHei" w:hAnsi="Microsoft YaHei" w:eastAsia="Microsoft YaHei" w:cs="Microsoft YaHei"/>
          <w:sz w:val="17"/>
          <w:szCs w:val="17"/>
          <w:color w:val="333333"/>
          <w:spacing w:val="1"/>
        </w:rPr>
        <w:t>相关文章:</w:t>
      </w:r>
    </w:p>
    <w:p>
      <w:pPr>
        <w:ind w:firstLine="1040"/>
        <w:spacing w:before="166" w:line="188" w:lineRule="auto"/>
        <w:rPr>
          <w:rFonts w:ascii="Microsoft YaHei" w:hAnsi="Microsoft YaHei" w:eastAsia="Microsoft YaHei" w:cs="Microsoft YaHei"/>
          <w:sz w:val="16"/>
          <w:szCs w:val="16"/>
        </w:rPr>
      </w:pPr>
      <w:hyperlink w:history="true" r:id="rId8">
        <w:r>
          <w:rPr>
            <w:rFonts w:ascii="Microsoft YaHei" w:hAnsi="Microsoft YaHei" w:eastAsia="Microsoft YaHei" w:cs="Microsoft YaHei"/>
            <w:sz w:val="16"/>
            <w:szCs w:val="16"/>
            <w:color w:val="2B50A8"/>
            <w:spacing w:val="1"/>
          </w:rPr>
          <w:t>关于印发《会计改革与发展“十四五”规划纲要》的通知</w:t>
        </w:r>
      </w:hyperlink>
    </w:p>
    <w:p>
      <w:pPr>
        <w:spacing w:line="244" w:lineRule="auto"/>
        <w:rPr>
          <w:rFonts w:ascii="SimSun"/>
          <w:sz w:val="21"/>
        </w:rPr>
      </w:pPr>
      <w:r/>
    </w:p>
    <w:p>
      <w:pPr>
        <w:ind w:firstLine="539"/>
        <w:spacing w:before="46" w:line="218" w:lineRule="exact"/>
        <w:rPr>
          <w:rFonts w:ascii="Arial" w:hAnsi="Arial" w:eastAsia="Arial" w:cs="Arial"/>
          <w:sz w:val="16"/>
          <w:szCs w:val="16"/>
        </w:rPr>
      </w:pPr>
      <w:r>
        <w:rPr>
          <w:rFonts w:ascii="Arial" w:hAnsi="Arial" w:eastAsia="Arial" w:cs="Arial"/>
          <w:sz w:val="16"/>
          <w:szCs w:val="16"/>
          <w:spacing w:val="-1"/>
        </w:rPr>
        <w:t>kjs.mof.gov.cn/zhengcejiedu/202112/t20211230_3779801.htm</w:t>
      </w:r>
      <w:r>
        <w:rPr>
          <w:rFonts w:ascii="Arial" w:hAnsi="Arial" w:eastAsia="Arial" w:cs="Arial"/>
          <w:sz w:val="16"/>
          <w:szCs w:val="16"/>
        </w:rPr>
        <w:t>                                                                                                                                            </w:t>
      </w:r>
      <w:r>
        <w:rPr>
          <w:rFonts w:ascii="Arial" w:hAnsi="Arial" w:eastAsia="Arial" w:cs="Arial"/>
          <w:sz w:val="16"/>
          <w:szCs w:val="16"/>
          <w:spacing w:val="-1"/>
        </w:rPr>
        <w:t>4/5</w:t>
      </w:r>
    </w:p>
    <w:p>
      <w:pPr>
        <w:sectPr>
          <w:headerReference w:type="default" r:id="rId7"/>
          <w:pgSz w:w="11900" w:h="16839"/>
          <w:pgMar w:top="293" w:right="0" w:bottom="0" w:left="0" w:header="0" w:footer="0" w:gutter="0"/>
        </w:sectPr>
        <w:rPr/>
      </w:pPr>
    </w:p>
    <w:p>
      <w:pPr>
        <w:ind w:firstLine="533"/>
        <w:spacing w:line="204" w:lineRule="auto"/>
        <w:rPr>
          <w:rFonts w:ascii="Microsoft YaHei" w:hAnsi="Microsoft YaHei" w:eastAsia="Microsoft YaHei" w:cs="Microsoft YaHei"/>
          <w:sz w:val="16"/>
          <w:szCs w:val="16"/>
        </w:rPr>
      </w:pPr>
      <w:r>
        <w:drawing>
          <wp:anchor distT="0" distB="0" distL="0" distR="0" simplePos="0" relativeHeight="251668480" behindDoc="0" locked="0" layoutInCell="0" allowOverlap="1">
            <wp:simplePos x="0" y="0"/>
            <wp:positionH relativeFrom="page">
              <wp:posOffset>457123</wp:posOffset>
            </wp:positionH>
            <wp:positionV relativeFrom="page">
              <wp:posOffset>1523013</wp:posOffset>
            </wp:positionV>
            <wp:extent cx="6648119" cy="6832"/>
            <wp:effectExtent l="0" t="0" r="0" b="0"/>
            <wp:wrapNone/>
            <wp:docPr id="4" name="IM 4"/>
            <wp:cNvGraphicFramePr/>
            <a:graphic>
              <a:graphicData uri="http://schemas.openxmlformats.org/drawingml/2006/picture">
                <pic:pic>
                  <pic:nvPicPr>
                    <pic:cNvPr id="4" name="IM 4"/>
                    <pic:cNvPicPr/>
                  </pic:nvPicPr>
                  <pic:blipFill>
                    <a:blip r:embed="rId10"/>
                    <a:stretch>
                      <a:fillRect/>
                    </a:stretch>
                  </pic:blipFill>
                  <pic:spPr>
                    <a:xfrm rot="0">
                      <a:off x="0" y="0"/>
                      <a:ext cx="6648119" cy="6832"/>
                    </a:xfrm>
                    <a:prstGeom prst="rect">
                      <a:avLst/>
                    </a:prstGeom>
                  </pic:spPr>
                </pic:pic>
              </a:graphicData>
            </a:graphic>
          </wp:anchor>
        </w:drawing>
      </w:r>
      <w:r>
        <w:drawing>
          <wp:anchor distT="0" distB="0" distL="0" distR="0" simplePos="0" relativeHeight="251666432" behindDoc="0" locked="0" layoutInCell="0" allowOverlap="1">
            <wp:simplePos x="0" y="0"/>
            <wp:positionH relativeFrom="page">
              <wp:posOffset>1304366</wp:posOffset>
            </wp:positionH>
            <wp:positionV relativeFrom="page">
              <wp:posOffset>2008123</wp:posOffset>
            </wp:positionV>
            <wp:extent cx="840409" cy="362128"/>
            <wp:effectExtent l="0" t="0" r="0" b="0"/>
            <wp:wrapNone/>
            <wp:docPr id="5" name="IM 5"/>
            <wp:cNvGraphicFramePr/>
            <a:graphic>
              <a:graphicData uri="http://schemas.openxmlformats.org/drawingml/2006/picture">
                <pic:pic>
                  <pic:nvPicPr>
                    <pic:cNvPr id="5" name="IM 5"/>
                    <pic:cNvPicPr/>
                  </pic:nvPicPr>
                  <pic:blipFill>
                    <a:blip r:embed="rId11"/>
                    <a:stretch>
                      <a:fillRect/>
                    </a:stretch>
                  </pic:blipFill>
                  <pic:spPr>
                    <a:xfrm rot="0">
                      <a:off x="0" y="0"/>
                      <a:ext cx="840409" cy="362128"/>
                    </a:xfrm>
                    <a:prstGeom prst="rect">
                      <a:avLst/>
                    </a:prstGeom>
                  </pic:spPr>
                </pic:pic>
              </a:graphicData>
            </a:graphic>
          </wp:anchor>
        </w:drawing>
      </w:r>
      <w:r>
        <w:drawing>
          <wp:anchor distT="0" distB="0" distL="0" distR="0" simplePos="0" relativeHeight="251667456" behindDoc="0" locked="0" layoutInCell="0" allowOverlap="1">
            <wp:simplePos x="0" y="0"/>
            <wp:positionH relativeFrom="page">
              <wp:posOffset>2172106</wp:posOffset>
            </wp:positionH>
            <wp:positionV relativeFrom="page">
              <wp:posOffset>1973957</wp:posOffset>
            </wp:positionV>
            <wp:extent cx="471449" cy="430455"/>
            <wp:effectExtent l="0" t="0" r="0" b="0"/>
            <wp:wrapNone/>
            <wp:docPr id="6" name="IM 6"/>
            <wp:cNvGraphicFramePr/>
            <a:graphic>
              <a:graphicData uri="http://schemas.openxmlformats.org/drawingml/2006/picture">
                <pic:pic>
                  <pic:nvPicPr>
                    <pic:cNvPr id="6" name="IM 6"/>
                    <pic:cNvPicPr/>
                  </pic:nvPicPr>
                  <pic:blipFill>
                    <a:blip r:embed="rId12"/>
                    <a:stretch>
                      <a:fillRect/>
                    </a:stretch>
                  </pic:blipFill>
                  <pic:spPr>
                    <a:xfrm rot="0">
                      <a:off x="0" y="0"/>
                      <a:ext cx="471449" cy="430455"/>
                    </a:xfrm>
                    <a:prstGeom prst="rect">
                      <a:avLst/>
                    </a:prstGeom>
                  </pic:spPr>
                </pic:pic>
              </a:graphicData>
            </a:graphic>
          </wp:anchor>
        </w:drawing>
      </w:r>
      <w:r>
        <w:rPr>
          <w:rFonts w:ascii="Arial" w:hAnsi="Arial" w:eastAsia="Arial" w:cs="Arial"/>
          <w:sz w:val="16"/>
          <w:szCs w:val="16"/>
          <w:spacing w:val="-2"/>
          <w:position w:val="1"/>
        </w:rPr>
        <w:t>2022/4/27</w:t>
      </w:r>
      <w:r>
        <w:rPr>
          <w:rFonts w:ascii="Arial" w:hAnsi="Arial" w:eastAsia="Arial" w:cs="Arial"/>
          <w:sz w:val="16"/>
          <w:szCs w:val="16"/>
          <w:spacing w:val="1"/>
          <w:w w:val="102"/>
          <w:position w:val="1"/>
        </w:rPr>
        <w:t>                                </w:t>
      </w:r>
      <w:r>
        <w:rPr>
          <w:rFonts w:ascii="Microsoft YaHei" w:hAnsi="Microsoft YaHei" w:eastAsia="Microsoft YaHei" w:cs="Microsoft YaHei"/>
          <w:sz w:val="16"/>
          <w:szCs w:val="16"/>
          <w:spacing w:val="-2"/>
        </w:rPr>
        <w:t>深化政府及非营利组织会计改革</w:t>
      </w:r>
      <w:r>
        <w:rPr>
          <w:rFonts w:ascii="Microsoft YaHei" w:hAnsi="Microsoft YaHei" w:eastAsia="Microsoft YaHei" w:cs="Microsoft YaHei"/>
          <w:sz w:val="16"/>
          <w:szCs w:val="16"/>
          <w:spacing w:val="1"/>
        </w:rPr>
        <w:t> </w:t>
      </w:r>
      <w:r>
        <w:rPr>
          <w:rFonts w:ascii="Microsoft YaHei" w:hAnsi="Microsoft YaHei" w:eastAsia="Microsoft YaHei" w:cs="Microsoft YaHei"/>
          <w:sz w:val="16"/>
          <w:szCs w:val="16"/>
          <w:spacing w:val="-2"/>
        </w:rPr>
        <w:t>夯实现代财政制度基础</w:t>
      </w:r>
      <w:r>
        <w:rPr>
          <w:rFonts w:ascii="Arial" w:hAnsi="Arial" w:eastAsia="Arial" w:cs="Arial"/>
          <w:sz w:val="16"/>
          <w:szCs w:val="16"/>
          <w:spacing w:val="-2"/>
        </w:rPr>
        <w:t>——</w:t>
      </w:r>
      <w:r>
        <w:rPr>
          <w:rFonts w:ascii="Arial" w:hAnsi="Arial" w:eastAsia="Arial" w:cs="Arial"/>
          <w:sz w:val="16"/>
          <w:szCs w:val="16"/>
          <w:spacing w:val="33"/>
          <w:w w:val="101"/>
        </w:rPr>
        <w:t> </w:t>
      </w:r>
      <w:r>
        <w:rPr>
          <w:rFonts w:ascii="Microsoft YaHei" w:hAnsi="Microsoft YaHei" w:eastAsia="Microsoft YaHei" w:cs="Microsoft YaHei"/>
          <w:sz w:val="16"/>
          <w:szCs w:val="16"/>
          <w:spacing w:val="-2"/>
        </w:rPr>
        <w:t>《会计改革与发展</w:t>
      </w:r>
      <w:r>
        <w:rPr>
          <w:rFonts w:ascii="Arial" w:hAnsi="Arial" w:eastAsia="Arial" w:cs="Arial"/>
          <w:sz w:val="16"/>
          <w:szCs w:val="16"/>
          <w:spacing w:val="-2"/>
        </w:rPr>
        <w:t>“</w:t>
      </w:r>
      <w:r>
        <w:rPr>
          <w:rFonts w:ascii="Microsoft YaHei" w:hAnsi="Microsoft YaHei" w:eastAsia="Microsoft YaHei" w:cs="Microsoft YaHei"/>
          <w:sz w:val="16"/>
          <w:szCs w:val="16"/>
          <w:spacing w:val="-2"/>
        </w:rPr>
        <w:t>十四五</w:t>
      </w:r>
      <w:r>
        <w:rPr>
          <w:rFonts w:ascii="Arial" w:hAnsi="Arial" w:eastAsia="Arial" w:cs="Arial"/>
          <w:sz w:val="16"/>
          <w:szCs w:val="16"/>
          <w:spacing w:val="-2"/>
        </w:rPr>
        <w:t>”</w:t>
      </w:r>
      <w:r>
        <w:rPr>
          <w:rFonts w:ascii="Microsoft YaHei" w:hAnsi="Microsoft YaHei" w:eastAsia="Microsoft YaHei" w:cs="Microsoft YaHei"/>
          <w:sz w:val="16"/>
          <w:szCs w:val="16"/>
          <w:spacing w:val="-2"/>
        </w:rPr>
        <w:t>规划纲要》系列解读之二</w:t>
      </w:r>
    </w:p>
    <w:p>
      <w:pPr>
        <w:ind w:firstLine="1039"/>
        <w:spacing w:before="95" w:line="188" w:lineRule="auto"/>
        <w:rPr>
          <w:rFonts w:ascii="Microsoft YaHei" w:hAnsi="Microsoft YaHei" w:eastAsia="Microsoft YaHei" w:cs="Microsoft YaHei"/>
          <w:sz w:val="16"/>
          <w:szCs w:val="16"/>
        </w:rPr>
      </w:pPr>
      <w:hyperlink w:history="true" r:id="rId13">
        <w:r>
          <w:rPr>
            <w:rFonts w:ascii="Microsoft YaHei" w:hAnsi="Microsoft YaHei" w:eastAsia="Microsoft YaHei" w:cs="Microsoft YaHei"/>
            <w:sz w:val="16"/>
            <w:szCs w:val="16"/>
            <w:color w:val="2B50A8"/>
            <w:spacing w:val="1"/>
          </w:rPr>
          <w:t>推动变革融合</w:t>
        </w:r>
        <w:r>
          <w:rPr>
            <w:rFonts w:ascii="Microsoft YaHei" w:hAnsi="Microsoft YaHei" w:eastAsia="Microsoft YaHei" w:cs="Microsoft YaHei"/>
            <w:sz w:val="16"/>
            <w:szCs w:val="16"/>
            <w:color w:val="2B50A8"/>
            <w:spacing w:val="11"/>
            <w:w w:val="101"/>
          </w:rPr>
          <w:t>   </w:t>
        </w:r>
        <w:r>
          <w:rPr>
            <w:rFonts w:ascii="Microsoft YaHei" w:hAnsi="Microsoft YaHei" w:eastAsia="Microsoft YaHei" w:cs="Microsoft YaHei"/>
            <w:sz w:val="16"/>
            <w:szCs w:val="16"/>
            <w:color w:val="2B50A8"/>
            <w:spacing w:val="1"/>
          </w:rPr>
          <w:t>实现提质增效</w:t>
        </w:r>
        <w:r>
          <w:rPr>
            <w:rFonts w:ascii="Microsoft YaHei" w:hAnsi="Microsoft YaHei" w:eastAsia="Microsoft YaHei" w:cs="Microsoft YaHei"/>
            <w:sz w:val="16"/>
            <w:szCs w:val="16"/>
            <w:color w:val="2B50A8"/>
            <w:spacing w:val="3"/>
            <w:w w:val="101"/>
          </w:rPr>
          <w:t> </w:t>
        </w:r>
        <w:r>
          <w:rPr>
            <w:rFonts w:ascii="Microsoft YaHei" w:hAnsi="Microsoft YaHei" w:eastAsia="Microsoft YaHei" w:cs="Microsoft YaHei"/>
            <w:sz w:val="16"/>
            <w:szCs w:val="16"/>
            <w:color w:val="2B50A8"/>
            <w:spacing w:val="1"/>
          </w:rPr>
          <w:t>合力推动会计事业再上新台阶——《会计改革与发展“十四五”规划纲要》系列解读之一</w:t>
        </w:r>
      </w:hyperlink>
    </w:p>
    <w:p>
      <w:pPr>
        <w:ind w:firstLine="1039"/>
        <w:spacing w:before="86" w:line="188" w:lineRule="auto"/>
        <w:rPr>
          <w:rFonts w:ascii="Microsoft YaHei" w:hAnsi="Microsoft YaHei" w:eastAsia="Microsoft YaHei" w:cs="Microsoft YaHei"/>
          <w:sz w:val="16"/>
          <w:szCs w:val="16"/>
        </w:rPr>
      </w:pPr>
      <w:hyperlink w:history="true" r:id="rId14">
        <w:r>
          <w:rPr>
            <w:rFonts w:ascii="Microsoft YaHei" w:hAnsi="Microsoft YaHei" w:eastAsia="Microsoft YaHei" w:cs="Microsoft YaHei"/>
            <w:sz w:val="16"/>
            <w:szCs w:val="16"/>
            <w:color w:val="2B50A8"/>
            <w:spacing w:val="1"/>
          </w:rPr>
          <w:t>推动改革创新</w:t>
        </w:r>
        <w:r>
          <w:rPr>
            <w:rFonts w:ascii="Microsoft YaHei" w:hAnsi="Microsoft YaHei" w:eastAsia="Microsoft YaHei" w:cs="Microsoft YaHei"/>
            <w:sz w:val="16"/>
            <w:szCs w:val="16"/>
            <w:color w:val="2B50A8"/>
            <w:spacing w:val="18"/>
            <w:w w:val="101"/>
          </w:rPr>
          <w:t> </w:t>
        </w:r>
        <w:r>
          <w:rPr>
            <w:rFonts w:ascii="Microsoft YaHei" w:hAnsi="Microsoft YaHei" w:eastAsia="Microsoft YaHei" w:cs="Microsoft YaHei"/>
            <w:sz w:val="16"/>
            <w:szCs w:val="16"/>
            <w:color w:val="2B50A8"/>
            <w:spacing w:val="1"/>
          </w:rPr>
          <w:t>提高服务效能</w:t>
        </w:r>
        <w:r>
          <w:rPr>
            <w:rFonts w:ascii="Microsoft YaHei" w:hAnsi="Microsoft YaHei" w:eastAsia="Microsoft YaHei" w:cs="Microsoft YaHei"/>
            <w:sz w:val="16"/>
            <w:szCs w:val="16"/>
            <w:color w:val="2B50A8"/>
            <w:spacing w:val="3"/>
          </w:rPr>
          <w:t> </w:t>
        </w:r>
        <w:r>
          <w:rPr>
            <w:rFonts w:ascii="Microsoft YaHei" w:hAnsi="Microsoft YaHei" w:eastAsia="Microsoft YaHei" w:cs="Microsoft YaHei"/>
            <w:sz w:val="16"/>
            <w:szCs w:val="16"/>
            <w:color w:val="2B50A8"/>
            <w:spacing w:val="1"/>
          </w:rPr>
          <w:t>实现企业会计准则体系建设与实施高质量发展</w:t>
        </w:r>
        <w:r>
          <w:rPr>
            <w:rFonts w:ascii="Microsoft YaHei" w:hAnsi="Microsoft YaHei" w:eastAsia="Microsoft YaHei" w:cs="Microsoft YaHei"/>
            <w:sz w:val="16"/>
            <w:szCs w:val="16"/>
            <w:color w:val="2B50A8"/>
            <w:w w:val="101"/>
          </w:rPr>
          <w:t> </w:t>
        </w:r>
        <w:r>
          <w:rPr>
            <w:rFonts w:ascii="Microsoft YaHei" w:hAnsi="Microsoft YaHei" w:eastAsia="Microsoft YaHei" w:cs="Microsoft YaHei"/>
            <w:sz w:val="16"/>
            <w:szCs w:val="16"/>
            <w:color w:val="2B50A8"/>
            <w:spacing w:val="1"/>
          </w:rPr>
          <w:t>——《会计改革与发展“十四五”规划纲要》系列解读之三</w:t>
        </w:r>
      </w:hyperlink>
    </w:p>
    <w:p>
      <w:pPr>
        <w:spacing w:line="202" w:lineRule="exact"/>
        <w:rPr/>
      </w:pPr>
      <w:r/>
    </w:p>
    <w:p>
      <w:pPr>
        <w:sectPr>
          <w:headerReference w:type="default" r:id="rId9"/>
          <w:pgSz w:w="11900" w:h="16839"/>
          <w:pgMar w:top="293" w:right="0" w:bottom="0" w:left="0" w:header="0" w:footer="0" w:gutter="0"/>
          <w:cols w:equalWidth="0" w:num="1">
            <w:col w:w="11900" w:space="0"/>
          </w:cols>
        </w:sectPr>
        <w:rPr/>
      </w:pPr>
    </w:p>
    <w:p>
      <w:pPr>
        <w:ind w:firstLine="1039"/>
        <w:spacing w:before="56" w:line="213" w:lineRule="auto"/>
        <w:rPr>
          <w:sz w:val="15"/>
          <w:szCs w:val="15"/>
        </w:rPr>
      </w:pPr>
      <w:r>
        <w:rPr>
          <w:rFonts w:ascii="Microsoft YaHei" w:hAnsi="Microsoft YaHei" w:eastAsia="Microsoft YaHei" w:cs="Microsoft YaHei"/>
          <w:sz w:val="15"/>
          <w:szCs w:val="15"/>
          <w:color w:val="333333"/>
          <w:spacing w:val="-1"/>
        </w:rPr>
        <w:t>发布日期:</w:t>
      </w:r>
      <w:r>
        <w:rPr>
          <w:rFonts w:ascii="Microsoft YaHei" w:hAnsi="Microsoft YaHei" w:eastAsia="Microsoft YaHei" w:cs="Microsoft YaHei"/>
          <w:sz w:val="15"/>
          <w:szCs w:val="15"/>
          <w:color w:val="333333"/>
          <w:spacing w:val="10"/>
          <w:w w:val="101"/>
        </w:rPr>
        <w:t>  </w:t>
      </w:r>
      <w:r>
        <w:rPr>
          <w:rFonts w:ascii="Microsoft YaHei" w:hAnsi="Microsoft YaHei" w:eastAsia="Microsoft YaHei" w:cs="Microsoft YaHei"/>
          <w:sz w:val="15"/>
          <w:szCs w:val="15"/>
          <w:color w:val="333333"/>
          <w:spacing w:val="-1"/>
        </w:rPr>
        <w:t>2021年12月17日</w:t>
      </w:r>
      <w:r>
        <w:rPr>
          <w:rFonts w:ascii="Microsoft YaHei" w:hAnsi="Microsoft YaHei" w:eastAsia="Microsoft YaHei" w:cs="Microsoft YaHei"/>
          <w:sz w:val="15"/>
          <w:szCs w:val="15"/>
          <w:color w:val="333333"/>
        </w:rPr>
        <w:t>                                                                                                                              </w:t>
      </w:r>
      <w:r>
        <w:rPr>
          <w:sz w:val="15"/>
          <w:szCs w:val="15"/>
          <w:position w:val="-12"/>
        </w:rPr>
        <w:drawing>
          <wp:inline distT="0" distB="0" distL="0" distR="0">
            <wp:extent cx="396291" cy="177647"/>
            <wp:effectExtent l="0" t="0" r="0" b="0"/>
            <wp:docPr id="7" name="IM 7"/>
            <wp:cNvGraphicFramePr/>
            <a:graphic>
              <a:graphicData uri="http://schemas.openxmlformats.org/drawingml/2006/picture">
                <pic:pic>
                  <pic:nvPicPr>
                    <pic:cNvPr id="7" name="IM 7"/>
                    <pic:cNvPicPr/>
                  </pic:nvPicPr>
                  <pic:blipFill>
                    <a:blip r:embed="rId15"/>
                    <a:stretch>
                      <a:fillRect/>
                    </a:stretch>
                  </pic:blipFill>
                  <pic:spPr>
                    <a:xfrm rot="0">
                      <a:off x="0" y="0"/>
                      <a:ext cx="396291" cy="177647"/>
                    </a:xfrm>
                    <a:prstGeom prst="rect">
                      <a:avLst/>
                    </a:prstGeom>
                  </pic:spPr>
                </pic:pic>
              </a:graphicData>
            </a:graphic>
          </wp:inline>
        </w:drawing>
      </w:r>
    </w:p>
    <w:p>
      <w:pPr>
        <w:ind w:firstLine="8412"/>
        <w:spacing w:before="199" w:line="194"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333333"/>
          <w:spacing w:val="-9"/>
        </w:rPr>
        <w:t>【</w:t>
      </w:r>
      <w:r>
        <w:rPr>
          <w:rFonts w:ascii="Microsoft YaHei" w:hAnsi="Microsoft YaHei" w:eastAsia="Microsoft YaHei" w:cs="Microsoft YaHei"/>
          <w:sz w:val="14"/>
          <w:szCs w:val="14"/>
          <w:color w:val="333333"/>
          <w:spacing w:val="-6"/>
        </w:rPr>
        <w:t> </w:t>
      </w:r>
      <w:r>
        <w:rPr>
          <w:rFonts w:ascii="Microsoft YaHei" w:hAnsi="Microsoft YaHei" w:eastAsia="Microsoft YaHei" w:cs="Microsoft YaHei"/>
          <w:sz w:val="12"/>
          <w:szCs w:val="12"/>
          <w:color w:val="333333"/>
          <w:spacing w:val="-9"/>
        </w:rPr>
        <w:t>大</w:t>
      </w:r>
      <w:r>
        <w:rPr>
          <w:rFonts w:ascii="Microsoft YaHei" w:hAnsi="Microsoft YaHei" w:eastAsia="Microsoft YaHei" w:cs="Microsoft YaHei"/>
          <w:sz w:val="12"/>
          <w:szCs w:val="12"/>
          <w:color w:val="333333"/>
          <w:spacing w:val="9"/>
          <w:w w:val="101"/>
        </w:rPr>
        <w:t> </w:t>
      </w:r>
      <w:r>
        <w:rPr>
          <w:rFonts w:ascii="Microsoft YaHei" w:hAnsi="Microsoft YaHei" w:eastAsia="Microsoft YaHei" w:cs="Microsoft YaHei"/>
          <w:sz w:val="12"/>
          <w:szCs w:val="12"/>
          <w:color w:val="333333"/>
          <w:spacing w:val="-9"/>
        </w:rPr>
        <w:t>中</w:t>
      </w:r>
      <w:r>
        <w:rPr>
          <w:rFonts w:ascii="Microsoft YaHei" w:hAnsi="Microsoft YaHei" w:eastAsia="Microsoft YaHei" w:cs="Microsoft YaHei"/>
          <w:sz w:val="12"/>
          <w:szCs w:val="12"/>
          <w:color w:val="333333"/>
          <w:spacing w:val="1"/>
          <w:w w:val="101"/>
        </w:rPr>
        <w:t> </w:t>
      </w:r>
      <w:r>
        <w:rPr>
          <w:rFonts w:ascii="Microsoft YaHei" w:hAnsi="Microsoft YaHei" w:eastAsia="Microsoft YaHei" w:cs="Microsoft YaHei"/>
          <w:sz w:val="12"/>
          <w:szCs w:val="12"/>
          <w:color w:val="333333"/>
          <w:spacing w:val="-9"/>
        </w:rPr>
        <w:t>小</w:t>
      </w:r>
      <w:r>
        <w:rPr>
          <w:rFonts w:ascii="Microsoft YaHei" w:hAnsi="Microsoft YaHei" w:eastAsia="Microsoft YaHei" w:cs="Microsoft YaHei"/>
          <w:sz w:val="12"/>
          <w:szCs w:val="12"/>
          <w:color w:val="333333"/>
          <w:spacing w:val="-2"/>
        </w:rPr>
        <w:t> </w:t>
      </w:r>
      <w:r>
        <w:rPr>
          <w:rFonts w:ascii="Microsoft YaHei" w:hAnsi="Microsoft YaHei" w:eastAsia="Microsoft YaHei" w:cs="Microsoft YaHei"/>
          <w:sz w:val="14"/>
          <w:szCs w:val="14"/>
          <w:color w:val="333333"/>
          <w:spacing w:val="-9"/>
        </w:rPr>
        <w:t>】</w:t>
      </w:r>
    </w:p>
    <w:p>
      <w:pPr>
        <w:spacing w:line="14" w:lineRule="auto"/>
        <w:rPr>
          <w:rFonts w:ascii="SimSun"/>
          <w:sz w:val="2"/>
        </w:rPr>
      </w:pPr>
      <w:r>
        <w:rPr>
          <w:rFonts w:ascii="SimSun" w:hAnsi="SimSun" w:eastAsia="SimSun" w:cs="SimSun"/>
          <w:sz w:val="2"/>
          <w:szCs w:val="2"/>
        </w:rPr>
        <w:br w:type="column"/>
      </w:r>
    </w:p>
    <w:p>
      <w:pPr>
        <w:spacing w:before="54" w:line="280" w:lineRule="exact"/>
        <w:textAlignment w:val="center"/>
        <w:rPr/>
      </w:pPr>
      <w:r>
        <w:drawing>
          <wp:inline distT="0" distB="0" distL="0" distR="0">
            <wp:extent cx="177647" cy="177647"/>
            <wp:effectExtent l="0" t="0" r="0" b="0"/>
            <wp:docPr id="8" name="IM 8"/>
            <wp:cNvGraphicFramePr/>
            <a:graphic>
              <a:graphicData uri="http://schemas.openxmlformats.org/drawingml/2006/picture">
                <pic:pic>
                  <pic:nvPicPr>
                    <pic:cNvPr id="8" name="IM 8"/>
                    <pic:cNvPicPr/>
                  </pic:nvPicPr>
                  <pic:blipFill>
                    <a:blip r:embed="rId16"/>
                    <a:stretch>
                      <a:fillRect/>
                    </a:stretch>
                  </pic:blipFill>
                  <pic:spPr>
                    <a:xfrm rot="0">
                      <a:off x="0" y="0"/>
                      <a:ext cx="177647" cy="177647"/>
                    </a:xfrm>
                    <a:prstGeom prst="rect">
                      <a:avLst/>
                    </a:prstGeom>
                  </pic:spPr>
                </pic:pic>
              </a:graphicData>
            </a:graphic>
          </wp:inline>
        </w:drawing>
      </w:r>
    </w:p>
    <w:p>
      <w:pPr>
        <w:ind w:firstLine="108"/>
        <w:spacing w:before="215" w:line="185" w:lineRule="auto"/>
        <w:rPr>
          <w:rFonts w:ascii="Microsoft YaHei" w:hAnsi="Microsoft YaHei" w:eastAsia="Microsoft YaHei" w:cs="Microsoft YaHei"/>
          <w:sz w:val="13"/>
          <w:szCs w:val="13"/>
        </w:rPr>
      </w:pPr>
      <w:hyperlink w:history="true" r:id="rId17">
        <w:r>
          <w:rPr>
            <w:rFonts w:ascii="Microsoft YaHei" w:hAnsi="Microsoft YaHei" w:eastAsia="Microsoft YaHei" w:cs="Microsoft YaHei"/>
            <w:sz w:val="13"/>
            <w:szCs w:val="13"/>
            <w:color w:val="007DC1"/>
            <w:spacing w:val="-4"/>
          </w:rPr>
          <w:t>【打印此页】</w:t>
        </w:r>
      </w:hyperlink>
    </w:p>
    <w:p>
      <w:pPr>
        <w:spacing w:line="14" w:lineRule="auto"/>
        <w:rPr>
          <w:rFonts w:ascii="SimSun"/>
          <w:sz w:val="2"/>
        </w:rPr>
      </w:pPr>
      <w:r>
        <w:rPr>
          <w:rFonts w:ascii="SimSun" w:hAnsi="SimSun" w:eastAsia="SimSun" w:cs="SimSun"/>
          <w:sz w:val="2"/>
          <w:szCs w:val="2"/>
        </w:rPr>
        <w:br w:type="column"/>
      </w:r>
    </w:p>
    <w:p>
      <w:pPr>
        <w:spacing w:line="434" w:lineRule="auto"/>
        <w:rPr>
          <w:rFonts w:ascii="SimSun"/>
          <w:sz w:val="21"/>
        </w:rPr>
      </w:pPr>
      <w:r/>
    </w:p>
    <w:p>
      <w:pPr>
        <w:ind w:firstLine="2"/>
        <w:spacing w:before="55" w:line="185" w:lineRule="auto"/>
        <w:rPr>
          <w:rFonts w:ascii="Microsoft YaHei" w:hAnsi="Microsoft YaHei" w:eastAsia="Microsoft YaHei" w:cs="Microsoft YaHei"/>
          <w:sz w:val="13"/>
          <w:szCs w:val="13"/>
        </w:rPr>
      </w:pPr>
      <w:hyperlink w:history="true" r:id="rId18">
        <w:r>
          <w:rPr>
            <w:rFonts w:ascii="Microsoft YaHei" w:hAnsi="Microsoft YaHei" w:eastAsia="Microsoft YaHei" w:cs="Microsoft YaHei"/>
            <w:sz w:val="13"/>
            <w:szCs w:val="13"/>
            <w:color w:val="333333"/>
            <w:spacing w:val="-3"/>
          </w:rPr>
          <w:t>【关闭窗口】</w:t>
        </w:r>
      </w:hyperlink>
    </w:p>
    <w:p>
      <w:pPr>
        <w:sectPr>
          <w:type w:val="continuous"/>
          <w:pgSz w:w="11900" w:h="16839"/>
          <w:pgMar w:top="293" w:right="0" w:bottom="0" w:left="0" w:header="0" w:footer="0" w:gutter="0"/>
          <w:cols w:equalWidth="0" w:num="3">
            <w:col w:w="9160" w:space="28"/>
            <w:col w:w="872" w:space="53"/>
            <w:col w:w="1786" w:space="0"/>
          </w:cols>
        </w:sectPr>
        <w:rPr/>
      </w:pPr>
    </w:p>
    <w:p>
      <w:pPr>
        <w:rPr/>
      </w:pPr>
      <w:r/>
    </w:p>
    <w:p>
      <w:pPr>
        <w:rPr/>
      </w:pPr>
      <w:r/>
    </w:p>
    <w:p>
      <w:pPr>
        <w:spacing w:line="70" w:lineRule="exact"/>
        <w:rPr/>
      </w:pPr>
      <w:r/>
    </w:p>
    <w:p>
      <w:pPr>
        <w:sectPr>
          <w:type w:val="continuous"/>
          <w:pgSz w:w="11900" w:h="16839"/>
          <w:pgMar w:top="293" w:right="0" w:bottom="0" w:left="0" w:header="0" w:footer="0" w:gutter="0"/>
          <w:cols w:equalWidth="0" w:num="1">
            <w:col w:w="11900" w:space="0"/>
          </w:cols>
        </w:sectPr>
        <w:rPr/>
      </w:pPr>
    </w:p>
    <w:p>
      <w:pPr>
        <w:ind w:firstLine="6215"/>
        <w:spacing w:before="43" w:line="188" w:lineRule="auto"/>
        <w:rPr>
          <w:rFonts w:ascii="Microsoft YaHei" w:hAnsi="Microsoft YaHei" w:eastAsia="Microsoft YaHei" w:cs="Microsoft YaHei"/>
          <w:sz w:val="16"/>
          <w:szCs w:val="16"/>
        </w:rPr>
      </w:pPr>
      <w:hyperlink w:history="true" r:id="rId19">
        <w:r>
          <w:rPr>
            <w:rFonts w:ascii="Microsoft YaHei" w:hAnsi="Microsoft YaHei" w:eastAsia="Microsoft YaHei" w:cs="Microsoft YaHei"/>
            <w:sz w:val="16"/>
            <w:szCs w:val="16"/>
            <w:color w:val="222222"/>
            <w:spacing w:val="-2"/>
          </w:rPr>
          <w:t>网站地图</w:t>
        </w:r>
      </w:hyperlink>
    </w:p>
    <w:p>
      <w:pPr>
        <w:spacing w:line="14" w:lineRule="auto"/>
        <w:rPr>
          <w:rFonts w:ascii="SimSun"/>
          <w:sz w:val="2"/>
        </w:rPr>
      </w:pPr>
      <w:r>
        <w:rPr>
          <w:rFonts w:ascii="SimSun" w:hAnsi="SimSun" w:eastAsia="SimSun" w:cs="SimSun"/>
          <w:sz w:val="2"/>
          <w:szCs w:val="2"/>
        </w:rPr>
        <w:br w:type="column"/>
      </w:r>
    </w:p>
    <w:p>
      <w:pPr>
        <w:ind w:firstLine="98"/>
        <w:spacing w:before="63" w:line="172" w:lineRule="exact"/>
        <w:textAlignment w:val="center"/>
        <w:rPr/>
      </w:pPr>
      <w:r>
        <w:drawing>
          <wp:inline distT="0" distB="0" distL="0" distR="0">
            <wp:extent cx="6832" cy="109321"/>
            <wp:effectExtent l="0" t="0" r="0" b="0"/>
            <wp:docPr id="9" name="IM 9"/>
            <wp:cNvGraphicFramePr/>
            <a:graphic>
              <a:graphicData uri="http://schemas.openxmlformats.org/drawingml/2006/picture">
                <pic:pic>
                  <pic:nvPicPr>
                    <pic:cNvPr id="9" name="IM 9"/>
                    <pic:cNvPicPr/>
                  </pic:nvPicPr>
                  <pic:blipFill>
                    <a:blip r:embed="rId20"/>
                    <a:stretch>
                      <a:fillRect/>
                    </a:stretch>
                  </pic:blipFill>
                  <pic:spPr>
                    <a:xfrm rot="0">
                      <a:off x="0" y="0"/>
                      <a:ext cx="6832" cy="109321"/>
                    </a:xfrm>
                    <a:prstGeom prst="rect">
                      <a:avLst/>
                    </a:prstGeom>
                  </pic:spPr>
                </pic:pic>
              </a:graphicData>
            </a:graphic>
          </wp:inline>
        </w:drawing>
      </w:r>
    </w:p>
    <w:p>
      <w:pPr>
        <w:spacing w:line="14" w:lineRule="auto"/>
        <w:rPr>
          <w:rFonts w:ascii="SimSun"/>
          <w:sz w:val="2"/>
        </w:rPr>
      </w:pPr>
      <w:r>
        <w:rPr>
          <w:rFonts w:ascii="SimSun" w:hAnsi="SimSun" w:eastAsia="SimSun" w:cs="SimSun"/>
          <w:sz w:val="2"/>
          <w:szCs w:val="2"/>
        </w:rPr>
        <w:br w:type="column"/>
      </w:r>
    </w:p>
    <w:p>
      <w:pPr>
        <w:ind w:firstLine="72"/>
        <w:spacing w:before="42" w:line="188" w:lineRule="auto"/>
        <w:rPr>
          <w:rFonts w:ascii="Microsoft YaHei" w:hAnsi="Microsoft YaHei" w:eastAsia="Microsoft YaHei" w:cs="Microsoft YaHei"/>
          <w:sz w:val="16"/>
          <w:szCs w:val="16"/>
        </w:rPr>
      </w:pPr>
      <w:hyperlink w:history="true" r:id="rId21">
        <w:r>
          <w:rPr>
            <w:rFonts w:ascii="Microsoft YaHei" w:hAnsi="Microsoft YaHei" w:eastAsia="Microsoft YaHei" w:cs="Microsoft YaHei"/>
            <w:sz w:val="16"/>
            <w:szCs w:val="16"/>
            <w:color w:val="222222"/>
          </w:rPr>
          <w:t>联系我们</w:t>
        </w:r>
      </w:hyperlink>
    </w:p>
    <w:p>
      <w:pPr>
        <w:sectPr>
          <w:type w:val="continuous"/>
          <w:pgSz w:w="11900" w:h="16839"/>
          <w:pgMar w:top="293" w:right="0" w:bottom="0" w:left="0" w:header="0" w:footer="0" w:gutter="0"/>
          <w:cols w:equalWidth="0" w:num="3">
            <w:col w:w="6946" w:space="100"/>
            <w:col w:w="181" w:space="100"/>
            <w:col w:w="4573" w:space="0"/>
          </w:cols>
        </w:sectPr>
        <w:rPr/>
      </w:pPr>
    </w:p>
    <w:p>
      <w:pPr>
        <w:ind w:firstLine="6076"/>
        <w:spacing w:before="21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主办单位：中华人民共和国财政部</w:t>
      </w:r>
    </w:p>
    <w:p>
      <w:pPr>
        <w:ind w:firstLine="4402"/>
        <w:spacing w:before="47" w:line="22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rPr>
        <w:t>网站标识码：bm14000001</w:t>
      </w:r>
      <w:r>
        <w:rPr>
          <w:rFonts w:ascii="Microsoft YaHei" w:hAnsi="Microsoft YaHei" w:eastAsia="Microsoft YaHei" w:cs="Microsoft YaHei"/>
          <w:sz w:val="14"/>
          <w:szCs w:val="14"/>
          <w:color w:val="222222"/>
          <w:spacing w:val="62"/>
        </w:rPr>
        <w:t> </w:t>
      </w:r>
      <w:hyperlink w:history="true" r:id="rId22">
        <w:r>
          <w:rPr>
            <w:rFonts w:ascii="Microsoft YaHei" w:hAnsi="Microsoft YaHei" w:eastAsia="Microsoft YaHei" w:cs="Microsoft YaHei"/>
            <w:sz w:val="14"/>
            <w:szCs w:val="14"/>
            <w:color w:val="222222"/>
          </w:rPr>
          <w:t>京ICP备05002860号</w:t>
        </w:r>
      </w:hyperlink>
      <w:r>
        <w:rPr>
          <w:rFonts w:ascii="Microsoft YaHei" w:hAnsi="Microsoft YaHei" w:eastAsia="Microsoft YaHei" w:cs="Microsoft YaHei"/>
          <w:sz w:val="14"/>
          <w:szCs w:val="14"/>
          <w:color w:val="222222"/>
          <w:spacing w:val="20"/>
          <w:w w:val="101"/>
        </w:rPr>
        <w:t>  </w:t>
      </w:r>
      <w:hyperlink w:history="true" r:id="rId23">
        <w:r>
          <w:rPr>
            <w:sz w:val="14"/>
            <w:szCs w:val="14"/>
            <w:position w:val="-7"/>
          </w:rPr>
          <w:drawing>
            <wp:inline distT="0" distB="0" distL="0" distR="0">
              <wp:extent cx="136652" cy="136652"/>
              <wp:effectExtent l="0" t="0" r="0" b="0"/>
              <wp:docPr id="10" name="IM 10"/>
              <wp:cNvGraphicFramePr/>
              <a:graphic>
                <a:graphicData uri="http://schemas.openxmlformats.org/drawingml/2006/picture">
                  <pic:pic>
                    <pic:nvPicPr>
                      <pic:cNvPr id="10" name="IM 10"/>
                      <pic:cNvPicPr/>
                    </pic:nvPicPr>
                    <pic:blipFill>
                      <a:blip r:embed="rId24"/>
                      <a:stretch>
                        <a:fillRect/>
                      </a:stretch>
                    </pic:blipFill>
                    <pic:spPr>
                      <a:xfrm rot="0">
                        <a:off x="0" y="0"/>
                        <a:ext cx="136652" cy="136652"/>
                      </a:xfrm>
                      <a:prstGeom prst="rect">
                        <a:avLst/>
                      </a:prstGeom>
                    </pic:spPr>
                  </pic:pic>
                </a:graphicData>
              </a:graphic>
            </wp:inline>
          </w:drawing>
        </w:r>
        <w:r>
          <w:rPr>
            <w:rFonts w:ascii="Microsoft YaHei" w:hAnsi="Microsoft YaHei" w:eastAsia="Microsoft YaHei" w:cs="Microsoft YaHei"/>
            <w:sz w:val="14"/>
            <w:szCs w:val="14"/>
            <w:color w:val="222222"/>
            <w:spacing w:val="-37"/>
          </w:rPr>
          <w:t> </w:t>
        </w:r>
        <w:r>
          <w:rPr>
            <w:rFonts w:ascii="Microsoft YaHei" w:hAnsi="Microsoft YaHei" w:eastAsia="Microsoft YaHei" w:cs="Microsoft YaHei"/>
            <w:sz w:val="14"/>
            <w:szCs w:val="14"/>
            <w:color w:val="222222"/>
          </w:rPr>
          <w:t>京公网安备11010202000006号</w:t>
        </w:r>
      </w:hyperlink>
    </w:p>
    <w:p>
      <w:pPr>
        <w:ind w:firstLine="6144"/>
        <w:spacing w:before="64"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技术支持：财政部信息网络中心</w:t>
      </w:r>
    </w:p>
    <w:p>
      <w:pPr>
        <w:ind w:firstLine="5343"/>
        <w:spacing w:before="78" w:line="180" w:lineRule="auto"/>
        <w:rPr>
          <w:rFonts w:ascii="Microsoft YaHei" w:hAnsi="Microsoft YaHei" w:eastAsia="Microsoft YaHei" w:cs="Microsoft YaHei"/>
          <w:sz w:val="14"/>
          <w:szCs w:val="14"/>
        </w:rPr>
      </w:pPr>
      <w:r>
        <w:rPr>
          <w:rFonts w:ascii="Microsoft YaHei" w:hAnsi="Microsoft YaHei" w:eastAsia="Microsoft YaHei" w:cs="Microsoft YaHei"/>
          <w:sz w:val="14"/>
          <w:szCs w:val="14"/>
          <w:color w:val="222222"/>
          <w:spacing w:val="-1"/>
        </w:rPr>
        <w:t>中华人民共和国财政部</w:t>
      </w:r>
      <w:r>
        <w:rPr>
          <w:rFonts w:ascii="Microsoft YaHei" w:hAnsi="Microsoft YaHei" w:eastAsia="Microsoft YaHei" w:cs="Microsoft YaHei"/>
          <w:sz w:val="14"/>
          <w:szCs w:val="14"/>
          <w:color w:val="222222"/>
          <w:spacing w:val="5"/>
        </w:rPr>
        <w:t>  </w:t>
      </w:r>
      <w:r>
        <w:rPr>
          <w:rFonts w:ascii="Microsoft YaHei" w:hAnsi="Microsoft YaHei" w:eastAsia="Microsoft YaHei" w:cs="Microsoft YaHei"/>
          <w:sz w:val="14"/>
          <w:szCs w:val="14"/>
          <w:color w:val="222222"/>
          <w:spacing w:val="-1"/>
        </w:rPr>
        <w:t>版权所有，如需转载，请注明来源</w:t>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4"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spacing w:line="245" w:lineRule="auto"/>
        <w:rPr>
          <w:rFonts w:ascii="SimSun"/>
          <w:sz w:val="21"/>
        </w:rPr>
      </w:pPr>
      <w:r/>
    </w:p>
    <w:p>
      <w:pPr>
        <w:ind w:firstLine="539"/>
        <w:spacing w:before="47" w:line="218" w:lineRule="exact"/>
        <w:rPr>
          <w:rFonts w:ascii="Arial" w:hAnsi="Arial" w:eastAsia="Arial" w:cs="Arial"/>
          <w:sz w:val="16"/>
          <w:szCs w:val="16"/>
        </w:rPr>
      </w:pPr>
      <w:r>
        <w:rPr>
          <w:rFonts w:ascii="Arial" w:hAnsi="Arial" w:eastAsia="Arial" w:cs="Arial"/>
          <w:sz w:val="16"/>
          <w:szCs w:val="16"/>
          <w:spacing w:val="-1"/>
        </w:rPr>
        <w:t>kjs.mof.gov.cn/zhengcejiedu/202112/t20211230_3779801.htm</w:t>
      </w:r>
      <w:r>
        <w:rPr>
          <w:rFonts w:ascii="Arial" w:hAnsi="Arial" w:eastAsia="Arial" w:cs="Arial"/>
          <w:sz w:val="16"/>
          <w:szCs w:val="16"/>
        </w:rPr>
        <w:t>                                                                                                                                            </w:t>
      </w:r>
      <w:r>
        <w:rPr>
          <w:rFonts w:ascii="Arial" w:hAnsi="Arial" w:eastAsia="Arial" w:cs="Arial"/>
          <w:sz w:val="16"/>
          <w:szCs w:val="16"/>
          <w:spacing w:val="-1"/>
        </w:rPr>
        <w:t>5/5</w:t>
      </w:r>
    </w:p>
    <w:sectPr>
      <w:type w:val="continuous"/>
      <w:pgSz w:w="11900" w:h="16839"/>
      <w:pgMar w:top="293" w:right="0" w:bottom="0" w:left="0" w:header="0" w:footer="0" w:gutter="0"/>
      <w:cols w:equalWidth="0" w:num="1">
        <w:col w:w="11900" w:space="0"/>
      </w:cols>
    </w:sectPr>
  </w:body>
</w:document>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rPr>
        <w:rFonts w:ascii="SimSun"/>
        <w:sz w:val="21"/>
      </w:rPr>
    </w:pPr>
    <w:r>
      <w:drawing>
        <wp:anchor distT="0" distB="0" distL="0" distR="0" simplePos="0" relativeHeight="251658240" behindDoc="0" locked="0" layoutInCell="0" allowOverlap="1">
          <wp:simplePos x="0" y="0"/>
          <wp:positionH relativeFrom="page">
            <wp:posOffset>368299</wp:posOffset>
          </wp:positionH>
          <wp:positionV relativeFrom="page">
            <wp:posOffset>368300</wp:posOffset>
          </wp:positionV>
          <wp:extent cx="6832600" cy="9968762"/>
          <wp:effectExtent l="0" t="0" r="0" b="0"/>
          <wp:wrapNone/>
          <wp:docPr id="3" name="IM 3"/>
          <wp:cNvGraphicFramePr/>
          <a:graphic>
            <a:graphicData uri="http://schemas.openxmlformats.org/drawingml/2006/picture">
              <pic:pic>
                <pic:nvPicPr>
                  <pic:cNvPr id="3" name="IM 3"/>
                  <pic:cNvPicPr/>
                </pic:nvPicPr>
                <pic:blipFill>
                  <a:blip r:embed="rId1"/>
                  <a:stretch>
                    <a:fillRect/>
                  </a:stretch>
                </pic:blipFill>
                <pic:spPr>
                  <a:xfrm rot="0">
                    <a:off x="0" y="0"/>
                    <a:ext cx="6832600" cy="9968762"/>
                  </a:xfrm>
                  <a:prstGeom prst="rect">
                    <a:avLst/>
                  </a:prstGeom>
                </pic:spPr>
              </pic:pic>
            </a:graphicData>
          </a:graphic>
        </wp:anchor>
      </w:drawing>
    </w: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SimSun"/>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color w:val="000000"/>
        <w:kern w:val="0"/>
        <w:snapToGrid w:val="0"/>
      </w:rPr>
    </w:rPrDefault>
  </w:docDefaults>
  <w:style w:type="paragraph" w:styleId="1" w:default="1">
    <w:name w:val="Normal"/>
    <w:semiHidden/>
    <w:qFormat/>
    <w:pPr>
      <w:spacing w:line="240" w:lineRule="w:auto"/>
      <w:jc w:val="left"/>
      <w:autoSpaceDE w:val="0"/>
      <w:autoSpaceDN w:val="0"/>
      <w:adjustRightInd w:val="0"/>
      <w:snapToGrid w:val="0"/>
      <w:kinsoku w:val="0"/>
      <w:textAlignment w:val="baseline"/>
    </w:pPr>
    <w:rPr>
      <w:color w:val="000000"/>
      <w:kern w:val="0"/>
      <w:snapToGrid w:val="0"/>
      <w:noProof w:val="1"/>
    </w:rPr>
  </w:style>
  <w:style w:type="table" w:styleId="2" w:default="1">
    <w:name w:val="Table Normal"/>
    <w:semiHidden/>
    <w:unhideWhenUsed/>
    <w:qFormat/>
    <w:tblPr>
      <w:tblCellMar>
        <w:left w:w="0" w:type="dxa"/>
        <w:right w:w="0" w:type="dxa"/>
        <w:bottom w:w="0" w:type="dxa"/>
        <w:top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hyperlink" Target="http://kjs.mof.gov.cn/gongzuodongtai/202111/t20211126_3769461.htm" TargetMode="External"/><Relationship Id="rId7" Type="http://schemas.openxmlformats.org/officeDocument/2006/relationships/header" Target="header1.xml"/><Relationship Id="rId6" Type="http://schemas.openxmlformats.org/officeDocument/2006/relationships/hyperlink" Target="http://kjs.mof.gov.cn/zhengcejiedu/" TargetMode="External"/><Relationship Id="rId5" Type="http://schemas.openxmlformats.org/officeDocument/2006/relationships/hyperlink" Target="http://kjs.mof.gov.cn/" TargetMode="External"/><Relationship Id="rId4" Type="http://schemas.openxmlformats.org/officeDocument/2006/relationships/hyperlink" Target="http://www.mof.gov.cn/" TargetMode="External"/><Relationship Id="rId3" Type="http://schemas.openxmlformats.org/officeDocument/2006/relationships/hyperlink" Target="javascript:void(0)" TargetMode="External"/><Relationship Id="rId26" Type="http://schemas.openxmlformats.org/officeDocument/2006/relationships/styles" Target="styles.xml"/><Relationship Id="rId25" Type="http://schemas.openxmlformats.org/officeDocument/2006/relationships/settings" Target="settings.xml"/><Relationship Id="rId24" Type="http://schemas.openxmlformats.org/officeDocument/2006/relationships/image" Target="media/image10.png"/><Relationship Id="rId23" Type="http://schemas.openxmlformats.org/officeDocument/2006/relationships/hyperlink" Target="http://www.beian.gov.cn/portal/registerSystemInfo?recordcode=11010202000006" TargetMode="External"/><Relationship Id="rId22" Type="http://schemas.openxmlformats.org/officeDocument/2006/relationships/hyperlink" Target="https://beian.miit.gov.cn/#/Integrated/index" TargetMode="External"/><Relationship Id="rId21" Type="http://schemas.openxmlformats.org/officeDocument/2006/relationships/hyperlink" Target="http://www.mof.gov.cn/gywm/" TargetMode="External"/><Relationship Id="rId20" Type="http://schemas.openxmlformats.org/officeDocument/2006/relationships/image" Target="media/image9.png"/><Relationship Id="rId2" Type="http://schemas.openxmlformats.org/officeDocument/2006/relationships/image" Target="media/image2.png"/><Relationship Id="rId19" Type="http://schemas.openxmlformats.org/officeDocument/2006/relationships/hyperlink" Target="http://www.mof.gov.cn/wzdt/" TargetMode="External"/><Relationship Id="rId18" Type="http://schemas.openxmlformats.org/officeDocument/2006/relationships/hyperlink" Target="javascript:close()" TargetMode="External"/><Relationship Id="rId17" Type="http://schemas.openxmlformats.org/officeDocument/2006/relationships/hyperlink" Target="javascript:window.print()" TargetMode="Externa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hyperlink" Target="http://kjs.mof.gov.cn/zhengcejiedu/202112/t20211230_3779291.htm" TargetMode="External"/><Relationship Id="rId13" Type="http://schemas.openxmlformats.org/officeDocument/2006/relationships/hyperlink" Target="http://kjs.mof.gov.cn/zhengcejiedu/202112/t20211209_3773413.htm" TargetMode="Externa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docProps/app.xml><?xml version="1.0" encoding="utf-8"?>
<ap:Properties xmlns:vt="http://schemas.openxmlformats.org/officeDocument/2006/docPropsVTypes" xmlns:ap="http://schemas.openxmlformats.org/officeDocument/2006/extended-properties">
  <ap:Application>Mozilla/5.0 (Windows NT 10.0; WOW64) AppleWebKit/537.36 (KHTML, like Gecko) Chrome/86.0.4240.198 Safari/537.36 QIHU 360SE</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2022-04-27T01:03:58Z</dcterms:created>
</cp:coreProperties>
</file>

<file path=docProps/custom.xml><?xml version="1.0" encoding="utf-8"?>
<op:Properties xmlns:vt="http://schemas.openxmlformats.org/officeDocument/2006/docPropsVTypes" xmlns:op="http://schemas.openxmlformats.org/officeDocument/2006/custom-properties">
  <op:property fmtid="{E94486CC-9CD1-11EB-B3E1-52540006F7B4}" pid="2" name="CRO">
    <vt:lpwstr>wqlLaW5nc29mdCBQREYgdG8gV1BTIDY1</vt:lpwstr>
  </op:property>
  <op:property fmtid="{E94486CC-9CD1-11EB-B3E1-52540006F7B4}" pid="3" name="Created">
    <vt:filetime>2022-04-27T16:21:07</vt:filetime>
  </op:property>
</op:Properties>
</file>